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B48" w:rsidRDefault="001E0BA7" w:rsidP="00224095">
      <w:pPr>
        <w:pStyle w:val="Singlelines"/>
        <w:jc w:val="center"/>
        <w:rPr>
          <w:b/>
          <w:bCs/>
          <w:i/>
          <w:iCs/>
          <w:sz w:val="36"/>
          <w:szCs w:val="36"/>
        </w:rPr>
      </w:pPr>
      <w:bookmarkStart w:id="0" w:name="OLE_LINK1"/>
      <w:bookmarkStart w:id="1" w:name="OLE_LINK2"/>
      <w:r>
        <w:rPr>
          <w:b/>
          <w:bCs/>
          <w:i/>
          <w:iCs/>
          <w:sz w:val="36"/>
          <w:szCs w:val="36"/>
        </w:rPr>
        <w:t>Disaggregating the electricity sector in a CGE model and using i</w:t>
      </w:r>
      <w:r w:rsidR="00620DBC">
        <w:rPr>
          <w:b/>
          <w:bCs/>
          <w:i/>
          <w:iCs/>
          <w:sz w:val="36"/>
          <w:szCs w:val="36"/>
        </w:rPr>
        <w:t>mperfect c</w:t>
      </w:r>
      <w:r w:rsidR="00D27E67" w:rsidRPr="00B41E20">
        <w:rPr>
          <w:b/>
          <w:bCs/>
          <w:i/>
          <w:iCs/>
          <w:sz w:val="36"/>
          <w:szCs w:val="36"/>
        </w:rPr>
        <w:t xml:space="preserve">ompetition </w:t>
      </w:r>
      <w:r>
        <w:rPr>
          <w:b/>
          <w:bCs/>
          <w:i/>
          <w:iCs/>
          <w:sz w:val="36"/>
          <w:szCs w:val="36"/>
        </w:rPr>
        <w:t>to explain the introduction of new technologies to the sector</w:t>
      </w:r>
    </w:p>
    <w:bookmarkEnd w:id="0"/>
    <w:bookmarkEnd w:id="1"/>
    <w:p w:rsidR="00A62D72" w:rsidRDefault="00A62D72" w:rsidP="005670BA">
      <w:pPr>
        <w:pStyle w:val="Singlelines"/>
        <w:jc w:val="center"/>
        <w:rPr>
          <w:b/>
          <w:bCs/>
          <w:i/>
          <w:iCs/>
        </w:rPr>
      </w:pPr>
    </w:p>
    <w:p w:rsidR="0052251F" w:rsidRDefault="0052251F" w:rsidP="0052251F">
      <w:pPr>
        <w:pStyle w:val="Heading3"/>
        <w:jc w:val="center"/>
      </w:pPr>
      <w:r w:rsidRPr="00F03125">
        <w:t xml:space="preserve">Truong P. Truong and </w:t>
      </w:r>
      <w:r>
        <w:t xml:space="preserve">Hiroshi </w:t>
      </w:r>
      <w:proofErr w:type="spellStart"/>
      <w:r>
        <w:t>Hamasaki</w:t>
      </w:r>
      <w:proofErr w:type="spellEnd"/>
    </w:p>
    <w:p w:rsidR="0052251F" w:rsidRPr="00EC74A7" w:rsidRDefault="0052251F" w:rsidP="0052251F">
      <w:pPr>
        <w:pStyle w:val="BodyText"/>
        <w:jc w:val="center"/>
        <w:rPr>
          <w:rFonts w:eastAsiaTheme="minorEastAsia"/>
          <w:sz w:val="20"/>
          <w:lang w:eastAsia="ja-JP"/>
        </w:rPr>
      </w:pPr>
      <w:r w:rsidRPr="00482AAA">
        <w:rPr>
          <w:sz w:val="20"/>
        </w:rPr>
        <w:t>Institute of Transport and Logistics Studies, The University of Sydney Business School, University of Sydney NSW 2006 Australia</w:t>
      </w:r>
      <w:r>
        <w:rPr>
          <w:sz w:val="20"/>
        </w:rPr>
        <w:t xml:space="preserve">; </w:t>
      </w:r>
      <w:r w:rsidRPr="00482AAA">
        <w:rPr>
          <w:sz w:val="20"/>
        </w:rPr>
        <w:t>truong.truong@sydney.edu.au,</w:t>
      </w:r>
      <w:r>
        <w:rPr>
          <w:sz w:val="20"/>
        </w:rPr>
        <w:br/>
      </w:r>
      <w:r w:rsidRPr="006F1CA6">
        <w:rPr>
          <w:sz w:val="20"/>
        </w:rPr>
        <w:t>Economic Research Centre, Fujitsu Research Institute</w:t>
      </w:r>
      <w:r>
        <w:rPr>
          <w:sz w:val="20"/>
        </w:rPr>
        <w:t xml:space="preserve"> and Center for International Public Policy Studies, Tokyo, Japan;</w:t>
      </w:r>
      <w:r w:rsidRPr="00482AAA">
        <w:rPr>
          <w:sz w:val="20"/>
        </w:rPr>
        <w:t xml:space="preserve"> </w:t>
      </w:r>
      <w:hyperlink r:id="rId8" w:history="1">
        <w:r w:rsidRPr="004422A0">
          <w:rPr>
            <w:rStyle w:val="Hyperlink"/>
            <w:rFonts w:eastAsiaTheme="minorEastAsia" w:hint="eastAsia"/>
            <w:sz w:val="20"/>
            <w:lang w:eastAsia="ja-JP"/>
          </w:rPr>
          <w:t>hiroshi.hamasak@jp.fujitsu.com</w:t>
        </w:r>
      </w:hyperlink>
      <w:r>
        <w:rPr>
          <w:rFonts w:eastAsiaTheme="minorEastAsia" w:hint="eastAsia"/>
          <w:sz w:val="20"/>
          <w:lang w:eastAsia="ja-JP"/>
        </w:rPr>
        <w:t xml:space="preserve">, </w:t>
      </w:r>
      <w:hyperlink r:id="rId9" w:history="1">
        <w:r w:rsidRPr="004422A0">
          <w:rPr>
            <w:rStyle w:val="Hyperlink"/>
            <w:rFonts w:eastAsiaTheme="minorEastAsia" w:hint="eastAsia"/>
            <w:sz w:val="20"/>
            <w:lang w:eastAsia="ja-JP"/>
          </w:rPr>
          <w:t>h</w:t>
        </w:r>
        <w:r w:rsidRPr="004422A0">
          <w:rPr>
            <w:rStyle w:val="Hyperlink"/>
            <w:sz w:val="20"/>
          </w:rPr>
          <w:t>amasaki@cipps.org</w:t>
        </w:r>
      </w:hyperlink>
      <w:r>
        <w:rPr>
          <w:rFonts w:eastAsiaTheme="minorEastAsia" w:hint="eastAsia"/>
          <w:sz w:val="20"/>
          <w:lang w:eastAsia="ja-JP"/>
        </w:rPr>
        <w:t xml:space="preserve"> </w:t>
      </w:r>
    </w:p>
    <w:p w:rsidR="0052251F" w:rsidRDefault="0052251F" w:rsidP="0052251F">
      <w:pPr>
        <w:jc w:val="center"/>
        <w:rPr>
          <w:i/>
        </w:rPr>
      </w:pPr>
      <w:r w:rsidRPr="00482AAA">
        <w:rPr>
          <w:i/>
          <w:sz w:val="20"/>
          <w:szCs w:val="20"/>
        </w:rPr>
        <w:t xml:space="preserve">Version: 30 </w:t>
      </w:r>
      <w:r>
        <w:rPr>
          <w:i/>
          <w:sz w:val="20"/>
          <w:szCs w:val="20"/>
        </w:rPr>
        <w:t>August</w:t>
      </w:r>
      <w:r w:rsidRPr="00482AAA">
        <w:rPr>
          <w:i/>
          <w:sz w:val="20"/>
          <w:szCs w:val="20"/>
        </w:rPr>
        <w:t xml:space="preserve"> 2014</w:t>
      </w:r>
    </w:p>
    <w:p w:rsidR="00A62D72" w:rsidRDefault="00A62D72" w:rsidP="005670BA">
      <w:pPr>
        <w:pStyle w:val="Singlelines"/>
        <w:jc w:val="center"/>
        <w:rPr>
          <w:b/>
          <w:bCs/>
          <w:i/>
          <w:iCs/>
          <w:sz w:val="36"/>
          <w:szCs w:val="36"/>
        </w:rPr>
      </w:pPr>
    </w:p>
    <w:p w:rsidR="00A62D72" w:rsidRDefault="00A62D72" w:rsidP="005670BA">
      <w:pPr>
        <w:pStyle w:val="Singlelines"/>
        <w:jc w:val="center"/>
        <w:rPr>
          <w:b/>
          <w:bCs/>
          <w:i/>
          <w:iCs/>
          <w:sz w:val="36"/>
          <w:szCs w:val="36"/>
        </w:rPr>
      </w:pPr>
      <w:r>
        <w:rPr>
          <w:b/>
          <w:bCs/>
          <w:i/>
          <w:iCs/>
          <w:sz w:val="36"/>
          <w:szCs w:val="36"/>
        </w:rPr>
        <w:t>Abstract</w:t>
      </w:r>
    </w:p>
    <w:p w:rsidR="00A62D72" w:rsidRPr="007637A5" w:rsidRDefault="001E0BA7" w:rsidP="00A62D72">
      <w:pPr>
        <w:rPr>
          <w:bCs/>
        </w:rPr>
      </w:pPr>
      <w:r>
        <w:rPr>
          <w:bCs/>
        </w:rPr>
        <w:t>The electricity sector in most CGE models is highly aggregate often represented by only a single aggregate production function. Improvement to this approach involves disaggregating the sector into various technological components represented by different production functions using ‘bottom-up’ information and then re-aggregated into a ‘top-down’ sector again using a</w:t>
      </w:r>
      <w:r w:rsidR="002A6FD4">
        <w:rPr>
          <w:bCs/>
        </w:rPr>
        <w:t xml:space="preserve"> similarly </w:t>
      </w:r>
      <w:r>
        <w:rPr>
          <w:bCs/>
        </w:rPr>
        <w:t xml:space="preserve">aggregate production function (CRESH, </w:t>
      </w:r>
      <w:proofErr w:type="spellStart"/>
      <w:r>
        <w:rPr>
          <w:bCs/>
        </w:rPr>
        <w:t>Logit</w:t>
      </w:r>
      <w:proofErr w:type="spellEnd"/>
      <w:r>
        <w:rPr>
          <w:bCs/>
        </w:rPr>
        <w:t>). In this paper, we provide an alternative approach to th</w:t>
      </w:r>
      <w:r w:rsidR="002A6FD4">
        <w:rPr>
          <w:bCs/>
        </w:rPr>
        <w:t xml:space="preserve">is aggregation of </w:t>
      </w:r>
      <w:r>
        <w:rPr>
          <w:bCs/>
        </w:rPr>
        <w:t>technologi</w:t>
      </w:r>
      <w:r w:rsidR="002A6FD4">
        <w:rPr>
          <w:bCs/>
        </w:rPr>
        <w:t xml:space="preserve">es into a </w:t>
      </w:r>
      <w:r>
        <w:rPr>
          <w:bCs/>
        </w:rPr>
        <w:t>sector</w:t>
      </w:r>
      <w:r w:rsidR="002A6FD4">
        <w:rPr>
          <w:bCs/>
        </w:rPr>
        <w:t xml:space="preserve"> </w:t>
      </w:r>
      <w:r>
        <w:rPr>
          <w:bCs/>
        </w:rPr>
        <w:t xml:space="preserve">output </w:t>
      </w:r>
      <w:r w:rsidR="002A6FD4">
        <w:rPr>
          <w:bCs/>
        </w:rPr>
        <w:t>by relying on the theory of perfect or imperfect competition between the different players in the market using these different technologies to arrive at an equilibrium position for the market.</w:t>
      </w:r>
      <w:r w:rsidR="003718B9">
        <w:rPr>
          <w:bCs/>
        </w:rPr>
        <w:t xml:space="preserve"> The paper </w:t>
      </w:r>
      <w:r w:rsidR="002A6FD4">
        <w:rPr>
          <w:bCs/>
        </w:rPr>
        <w:t xml:space="preserve">illustrates the applicability of the new methodology with an example of the case of </w:t>
      </w:r>
      <w:r w:rsidR="00BC1250">
        <w:rPr>
          <w:bCs/>
        </w:rPr>
        <w:t>Japan</w:t>
      </w:r>
      <w:r w:rsidR="002A6FD4">
        <w:rPr>
          <w:bCs/>
        </w:rPr>
        <w:t xml:space="preserve"> where it is assumed that a climate policy is to seek to reduce </w:t>
      </w:r>
      <w:r w:rsidR="00BC1250">
        <w:rPr>
          <w:bCs/>
        </w:rPr>
        <w:t>CO</w:t>
      </w:r>
      <w:r w:rsidR="00BC1250" w:rsidRPr="00BC1250">
        <w:rPr>
          <w:bCs/>
          <w:vertAlign w:val="subscript"/>
        </w:rPr>
        <w:t>2</w:t>
      </w:r>
      <w:r w:rsidR="00BC1250">
        <w:rPr>
          <w:bCs/>
        </w:rPr>
        <w:t xml:space="preserve"> emissions </w:t>
      </w:r>
      <w:r w:rsidR="002A6FD4">
        <w:rPr>
          <w:bCs/>
        </w:rPr>
        <w:t xml:space="preserve">from fossil fuel technologies but </w:t>
      </w:r>
      <w:r w:rsidR="00BC1250">
        <w:rPr>
          <w:bCs/>
        </w:rPr>
        <w:t>a</w:t>
      </w:r>
      <w:r w:rsidR="002A6FD4">
        <w:rPr>
          <w:bCs/>
        </w:rPr>
        <w:t xml:space="preserve"> competing energy policy may also be pursued which seeks to reduce reliance on </w:t>
      </w:r>
      <w:r w:rsidR="00BC1250">
        <w:rPr>
          <w:bCs/>
        </w:rPr>
        <w:t xml:space="preserve">nuclear electricity </w:t>
      </w:r>
      <w:r w:rsidR="003718B9">
        <w:rPr>
          <w:bCs/>
        </w:rPr>
        <w:t xml:space="preserve">following the accidents at the </w:t>
      </w:r>
      <w:r w:rsidR="00D833F4" w:rsidRPr="00726124">
        <w:t xml:space="preserve">Fukushima </w:t>
      </w:r>
      <w:r w:rsidR="003718B9">
        <w:rPr>
          <w:bCs/>
        </w:rPr>
        <w:t>nuclear power plants</w:t>
      </w:r>
      <w:r w:rsidR="00D833F4">
        <w:rPr>
          <w:bCs/>
        </w:rPr>
        <w:t>.</w:t>
      </w:r>
      <w:r w:rsidR="002A6FD4">
        <w:rPr>
          <w:bCs/>
        </w:rPr>
        <w:t xml:space="preserve"> The model illustrate how interactions between the technologies can lead to different outcomes depending on the extent of the competition (or lack of it) between the different players in the electricity market using these different technologies.</w:t>
      </w:r>
    </w:p>
    <w:p w:rsidR="009D0A30" w:rsidRPr="00F8412D" w:rsidRDefault="009D0A30" w:rsidP="009D0A30">
      <w:r>
        <w:rPr>
          <w:i/>
        </w:rPr>
        <w:t xml:space="preserve">Keywords: </w:t>
      </w:r>
      <w:r>
        <w:t xml:space="preserve">Renewable </w:t>
      </w:r>
      <w:r w:rsidR="00620DBC">
        <w:t xml:space="preserve">and </w:t>
      </w:r>
      <w:r>
        <w:t>nuclear electricity</w:t>
      </w:r>
      <w:r w:rsidR="00620DBC">
        <w:t xml:space="preserve"> supply</w:t>
      </w:r>
      <w:r>
        <w:t xml:space="preserve">, </w:t>
      </w:r>
      <w:r w:rsidR="00620DBC">
        <w:t xml:space="preserve">imperfect </w:t>
      </w:r>
      <w:r>
        <w:t>competition</w:t>
      </w:r>
      <w:r w:rsidR="00620DBC">
        <w:t xml:space="preserve"> in CGE model, climate and energy policies.</w:t>
      </w:r>
    </w:p>
    <w:p w:rsidR="00A62D72" w:rsidRDefault="00A62D72" w:rsidP="005670BA">
      <w:pPr>
        <w:pStyle w:val="Singlelines"/>
        <w:jc w:val="center"/>
        <w:rPr>
          <w:b/>
          <w:bCs/>
          <w:i/>
          <w:iCs/>
          <w:sz w:val="36"/>
          <w:szCs w:val="36"/>
        </w:rPr>
      </w:pPr>
    </w:p>
    <w:p w:rsidR="00713B48" w:rsidRDefault="00713B48" w:rsidP="005A3786">
      <w:pPr>
        <w:numPr>
          <w:ilvl w:val="0"/>
          <w:numId w:val="1"/>
        </w:numPr>
        <w:autoSpaceDE w:val="0"/>
        <w:autoSpaceDN w:val="0"/>
        <w:adjustRightInd w:val="0"/>
        <w:spacing w:before="240" w:after="0" w:line="360" w:lineRule="auto"/>
        <w:ind w:left="567" w:hanging="567"/>
        <w:jc w:val="left"/>
        <w:rPr>
          <w:b/>
          <w:bCs/>
        </w:rPr>
      </w:pPr>
      <w:r>
        <w:rPr>
          <w:b/>
          <w:bCs/>
        </w:rPr>
        <w:t>Introduction</w:t>
      </w:r>
    </w:p>
    <w:p w:rsidR="005A3706" w:rsidRDefault="00D833F4" w:rsidP="00553B0D">
      <w:pPr>
        <w:autoSpaceDE w:val="0"/>
        <w:autoSpaceDN w:val="0"/>
        <w:adjustRightInd w:val="0"/>
        <w:spacing w:before="120" w:line="360" w:lineRule="auto"/>
      </w:pPr>
      <w:r w:rsidRPr="007637A5">
        <w:rPr>
          <w:bCs/>
        </w:rPr>
        <w:t xml:space="preserve">Climate and energy policies </w:t>
      </w:r>
      <w:r w:rsidR="002A6FD4">
        <w:rPr>
          <w:bCs/>
        </w:rPr>
        <w:t xml:space="preserve">often </w:t>
      </w:r>
      <w:r w:rsidRPr="007637A5">
        <w:rPr>
          <w:bCs/>
        </w:rPr>
        <w:t xml:space="preserve">have different </w:t>
      </w:r>
      <w:r>
        <w:rPr>
          <w:bCs/>
        </w:rPr>
        <w:t xml:space="preserve">(even though complementary) </w:t>
      </w:r>
      <w:r w:rsidRPr="007637A5">
        <w:rPr>
          <w:bCs/>
        </w:rPr>
        <w:t>objectives</w:t>
      </w:r>
      <w:r>
        <w:rPr>
          <w:bCs/>
        </w:rPr>
        <w:t xml:space="preserve"> </w:t>
      </w:r>
      <w:r>
        <w:t>and using different policy instruments to achieve these objectives</w:t>
      </w:r>
      <w:r w:rsidRPr="007637A5">
        <w:rPr>
          <w:bCs/>
        </w:rPr>
        <w:t xml:space="preserve">. In the electricity sector, </w:t>
      </w:r>
      <w:r>
        <w:rPr>
          <w:bCs/>
        </w:rPr>
        <w:t xml:space="preserve">for example, </w:t>
      </w:r>
      <w:r w:rsidRPr="007637A5">
        <w:rPr>
          <w:bCs/>
        </w:rPr>
        <w:t>the objective of climate policy is to reduce the level of CO</w:t>
      </w:r>
      <w:r w:rsidRPr="00602080">
        <w:rPr>
          <w:bCs/>
          <w:vertAlign w:val="subscript"/>
        </w:rPr>
        <w:t>2</w:t>
      </w:r>
      <w:r w:rsidRPr="007637A5">
        <w:rPr>
          <w:bCs/>
        </w:rPr>
        <w:t xml:space="preserve"> emissions from the use of fossil-fuels in electricity generation while the objective of energy policy is to promote </w:t>
      </w:r>
      <w:r>
        <w:rPr>
          <w:bCs/>
        </w:rPr>
        <w:t xml:space="preserve">‘green </w:t>
      </w:r>
      <w:r>
        <w:rPr>
          <w:bCs/>
        </w:rPr>
        <w:lastRenderedPageBreak/>
        <w:t>growth’, i.e. the use of renewable electricity</w:t>
      </w:r>
      <w:r w:rsidR="00FF587D">
        <w:rPr>
          <w:bCs/>
        </w:rPr>
        <w:t xml:space="preserve"> which does not generate </w:t>
      </w:r>
      <w:r w:rsidR="00FF587D" w:rsidRPr="007637A5">
        <w:rPr>
          <w:bCs/>
        </w:rPr>
        <w:t>CO</w:t>
      </w:r>
      <w:r w:rsidR="00FF587D" w:rsidRPr="00602080">
        <w:rPr>
          <w:bCs/>
          <w:vertAlign w:val="subscript"/>
        </w:rPr>
        <w:t>2</w:t>
      </w:r>
      <w:r w:rsidR="00FF587D" w:rsidRPr="007637A5">
        <w:rPr>
          <w:bCs/>
        </w:rPr>
        <w:t xml:space="preserve"> emissions</w:t>
      </w:r>
      <w:r>
        <w:rPr>
          <w:bCs/>
        </w:rPr>
        <w:t xml:space="preserve">. On the surface, these policies may look </w:t>
      </w:r>
      <w:r w:rsidR="00FF587D">
        <w:rPr>
          <w:bCs/>
        </w:rPr>
        <w:t xml:space="preserve">complementary (as argued in </w:t>
      </w:r>
      <w:proofErr w:type="spellStart"/>
      <w:r w:rsidR="00FF587D">
        <w:t>Kemfert</w:t>
      </w:r>
      <w:proofErr w:type="spellEnd"/>
      <w:r w:rsidR="00FF587D">
        <w:t xml:space="preserve"> and </w:t>
      </w:r>
      <w:proofErr w:type="spellStart"/>
      <w:r w:rsidR="00FF587D">
        <w:t>Deikmann</w:t>
      </w:r>
      <w:proofErr w:type="spellEnd"/>
      <w:r w:rsidR="00FF587D">
        <w:t xml:space="preserve">, 2009; </w:t>
      </w:r>
      <w:proofErr w:type="spellStart"/>
      <w:r w:rsidR="00FF587D">
        <w:t>Kemfert</w:t>
      </w:r>
      <w:proofErr w:type="spellEnd"/>
      <w:r w:rsidR="00FF587D">
        <w:t xml:space="preserve"> et al. 2009</w:t>
      </w:r>
      <w:r w:rsidR="00FF587D">
        <w:rPr>
          <w:bCs/>
        </w:rPr>
        <w:t xml:space="preserve">) </w:t>
      </w:r>
      <w:r w:rsidR="002A6FD4">
        <w:rPr>
          <w:bCs/>
        </w:rPr>
        <w:t>but it can also be argued that they may come into conflict</w:t>
      </w:r>
      <w:r w:rsidR="00FF587D">
        <w:rPr>
          <w:bCs/>
        </w:rPr>
        <w:t xml:space="preserve"> (as argued in </w:t>
      </w:r>
      <w:proofErr w:type="spellStart"/>
      <w:r w:rsidR="00FF587D" w:rsidRPr="003D56EC">
        <w:t>Böhringer</w:t>
      </w:r>
      <w:proofErr w:type="spellEnd"/>
      <w:r w:rsidR="00FF587D">
        <w:t xml:space="preserve"> et al., 2009). To understand the </w:t>
      </w:r>
      <w:r w:rsidR="006447EE">
        <w:rPr>
          <w:bCs/>
        </w:rPr>
        <w:t xml:space="preserve">exact nature and extent of the interactions between </w:t>
      </w:r>
      <w:r w:rsidR="00FF587D">
        <w:rPr>
          <w:bCs/>
        </w:rPr>
        <w:t xml:space="preserve">these </w:t>
      </w:r>
      <w:r w:rsidR="006447EE">
        <w:rPr>
          <w:bCs/>
        </w:rPr>
        <w:t>policies</w:t>
      </w:r>
      <w:r w:rsidR="00FF587D">
        <w:rPr>
          <w:bCs/>
        </w:rPr>
        <w:t xml:space="preserve">, however, </w:t>
      </w:r>
      <w:r w:rsidR="006447EE">
        <w:rPr>
          <w:bCs/>
        </w:rPr>
        <w:t>require</w:t>
      </w:r>
      <w:r w:rsidR="00FF587D">
        <w:rPr>
          <w:bCs/>
        </w:rPr>
        <w:t>s</w:t>
      </w:r>
      <w:r w:rsidR="006447EE">
        <w:rPr>
          <w:bCs/>
        </w:rPr>
        <w:t xml:space="preserve"> a detailed </w:t>
      </w:r>
      <w:r w:rsidR="002A6FD4">
        <w:rPr>
          <w:bCs/>
        </w:rPr>
        <w:t xml:space="preserve">examination </w:t>
      </w:r>
      <w:r w:rsidR="006447EE">
        <w:rPr>
          <w:bCs/>
        </w:rPr>
        <w:t xml:space="preserve">of the </w:t>
      </w:r>
      <w:r>
        <w:rPr>
          <w:bCs/>
        </w:rPr>
        <w:t>structure of the electricity generation market</w:t>
      </w:r>
      <w:r w:rsidR="00FF587D">
        <w:rPr>
          <w:bCs/>
        </w:rPr>
        <w:t xml:space="preserve"> with detailed descriptions of the type of technologies which are used for electricity generation. Unfortunately, this is </w:t>
      </w:r>
      <w:r w:rsidR="006447EE">
        <w:rPr>
          <w:bCs/>
        </w:rPr>
        <w:t xml:space="preserve">not </w:t>
      </w:r>
      <w:r w:rsidR="00FF587D">
        <w:rPr>
          <w:bCs/>
        </w:rPr>
        <w:t xml:space="preserve">often </w:t>
      </w:r>
      <w:r w:rsidR="006447EE">
        <w:rPr>
          <w:bCs/>
        </w:rPr>
        <w:t>forthcoming in most top-down computable general equilibrium</w:t>
      </w:r>
      <w:r w:rsidR="00FF587D">
        <w:rPr>
          <w:bCs/>
        </w:rPr>
        <w:t xml:space="preserve"> used for the analysis of these policies</w:t>
      </w:r>
      <w:r w:rsidR="006447EE">
        <w:rPr>
          <w:bCs/>
        </w:rPr>
        <w:t>. For example, in GTAP-E (</w:t>
      </w:r>
      <w:proofErr w:type="spellStart"/>
      <w:r w:rsidR="006447EE">
        <w:rPr>
          <w:bCs/>
        </w:rPr>
        <w:t>Burniaux</w:t>
      </w:r>
      <w:proofErr w:type="spellEnd"/>
      <w:r w:rsidR="006447EE">
        <w:rPr>
          <w:bCs/>
        </w:rPr>
        <w:t xml:space="preserve"> and Truong, 2002) </w:t>
      </w:r>
      <w:r w:rsidR="00FF587D">
        <w:rPr>
          <w:bCs/>
        </w:rPr>
        <w:t xml:space="preserve">as well as in most other top-down CGE models, </w:t>
      </w:r>
      <w:r w:rsidR="006447EE">
        <w:rPr>
          <w:bCs/>
        </w:rPr>
        <w:t xml:space="preserve">the electricity supply sector is </w:t>
      </w:r>
      <w:r w:rsidR="00CC517A">
        <w:rPr>
          <w:bCs/>
        </w:rPr>
        <w:t xml:space="preserve">often </w:t>
      </w:r>
      <w:r w:rsidR="006447EE">
        <w:rPr>
          <w:bCs/>
        </w:rPr>
        <w:t xml:space="preserve">represented </w:t>
      </w:r>
      <w:r w:rsidR="00FF587D">
        <w:rPr>
          <w:bCs/>
        </w:rPr>
        <w:t xml:space="preserve">simply </w:t>
      </w:r>
      <w:r w:rsidR="006447EE">
        <w:rPr>
          <w:bCs/>
        </w:rPr>
        <w:t>by a</w:t>
      </w:r>
      <w:r w:rsidR="00FF587D">
        <w:rPr>
          <w:bCs/>
        </w:rPr>
        <w:t>n</w:t>
      </w:r>
      <w:r w:rsidR="006447EE">
        <w:rPr>
          <w:bCs/>
        </w:rPr>
        <w:t xml:space="preserve"> aggregate </w:t>
      </w:r>
      <w:r w:rsidR="00FF587D">
        <w:rPr>
          <w:bCs/>
        </w:rPr>
        <w:t xml:space="preserve">production function </w:t>
      </w:r>
      <w:r w:rsidR="006447EE">
        <w:rPr>
          <w:bCs/>
        </w:rPr>
        <w:t>which may use different (fossil) fuels as inputs but this masks rather than highlight</w:t>
      </w:r>
      <w:r w:rsidR="00FF587D">
        <w:rPr>
          <w:bCs/>
        </w:rPr>
        <w:t>s</w:t>
      </w:r>
      <w:r w:rsidR="006447EE">
        <w:rPr>
          <w:bCs/>
        </w:rPr>
        <w:t xml:space="preserve"> the fact that these different fuels are in fact </w:t>
      </w:r>
      <w:r w:rsidR="00CC517A">
        <w:rPr>
          <w:bCs/>
        </w:rPr>
        <w:t xml:space="preserve">fuels </w:t>
      </w:r>
      <w:r w:rsidR="006447EE">
        <w:rPr>
          <w:bCs/>
        </w:rPr>
        <w:t xml:space="preserve">used by different </w:t>
      </w:r>
      <w:r w:rsidR="006447EE">
        <w:rPr>
          <w:bCs/>
          <w:i/>
        </w:rPr>
        <w:t xml:space="preserve">technologies </w:t>
      </w:r>
      <w:r w:rsidR="00C758AE">
        <w:rPr>
          <w:bCs/>
        </w:rPr>
        <w:t xml:space="preserve">and </w:t>
      </w:r>
      <w:r w:rsidR="006447EE">
        <w:rPr>
          <w:bCs/>
        </w:rPr>
        <w:t>the substitution between the</w:t>
      </w:r>
      <w:r w:rsidR="00C758AE">
        <w:rPr>
          <w:bCs/>
        </w:rPr>
        <w:t xml:space="preserve">se technologies is the </w:t>
      </w:r>
      <w:r w:rsidR="00CC517A">
        <w:rPr>
          <w:bCs/>
        </w:rPr>
        <w:t xml:space="preserve">main </w:t>
      </w:r>
      <w:r w:rsidR="00C758AE">
        <w:rPr>
          <w:bCs/>
        </w:rPr>
        <w:t xml:space="preserve">reason behind the </w:t>
      </w:r>
      <w:r w:rsidR="00CC517A">
        <w:rPr>
          <w:bCs/>
        </w:rPr>
        <w:t xml:space="preserve">fuel </w:t>
      </w:r>
      <w:r w:rsidR="00C758AE">
        <w:rPr>
          <w:bCs/>
        </w:rPr>
        <w:t xml:space="preserve">substitution rather than the reverse. Since some of the </w:t>
      </w:r>
      <w:r w:rsidR="006447EE">
        <w:rPr>
          <w:bCs/>
        </w:rPr>
        <w:t>technologies</w:t>
      </w:r>
      <w:r w:rsidR="00FF587D">
        <w:rPr>
          <w:bCs/>
        </w:rPr>
        <w:t xml:space="preserve"> </w:t>
      </w:r>
      <w:r w:rsidR="006447EE">
        <w:rPr>
          <w:bCs/>
        </w:rPr>
        <w:t xml:space="preserve">do not </w:t>
      </w:r>
      <w:r w:rsidR="00C758AE">
        <w:rPr>
          <w:bCs/>
        </w:rPr>
        <w:t xml:space="preserve">even </w:t>
      </w:r>
      <w:r w:rsidR="006447EE">
        <w:rPr>
          <w:bCs/>
        </w:rPr>
        <w:t xml:space="preserve">use </w:t>
      </w:r>
      <w:r w:rsidR="00C758AE">
        <w:rPr>
          <w:bCs/>
        </w:rPr>
        <w:t>any of these (</w:t>
      </w:r>
      <w:r w:rsidR="006447EE">
        <w:rPr>
          <w:bCs/>
        </w:rPr>
        <w:t xml:space="preserve">fossil) fuels, </w:t>
      </w:r>
      <w:r w:rsidR="00C758AE">
        <w:rPr>
          <w:bCs/>
        </w:rPr>
        <w:t xml:space="preserve">for example </w:t>
      </w:r>
      <w:proofErr w:type="gramStart"/>
      <w:r w:rsidR="006447EE">
        <w:rPr>
          <w:bCs/>
        </w:rPr>
        <w:t xml:space="preserve">hydroelectric, nuclear, and other renewable </w:t>
      </w:r>
      <w:r w:rsidR="00CC517A">
        <w:rPr>
          <w:bCs/>
        </w:rPr>
        <w:t xml:space="preserve">energy </w:t>
      </w:r>
      <w:r w:rsidR="006447EE">
        <w:rPr>
          <w:bCs/>
        </w:rPr>
        <w:t>technologies</w:t>
      </w:r>
      <w:r w:rsidR="00C758AE">
        <w:rPr>
          <w:bCs/>
        </w:rPr>
        <w:t>, the ‘fuel-substitution’ representation is</w:t>
      </w:r>
      <w:proofErr w:type="gramEnd"/>
      <w:r w:rsidR="00C758AE">
        <w:rPr>
          <w:bCs/>
        </w:rPr>
        <w:t xml:space="preserve"> </w:t>
      </w:r>
      <w:r w:rsidR="00CC517A">
        <w:rPr>
          <w:bCs/>
        </w:rPr>
        <w:t xml:space="preserve">at best </w:t>
      </w:r>
      <w:r w:rsidR="00C758AE">
        <w:rPr>
          <w:bCs/>
        </w:rPr>
        <w:t xml:space="preserve">an inadequate description of the </w:t>
      </w:r>
      <w:r w:rsidR="00CC517A">
        <w:rPr>
          <w:bCs/>
        </w:rPr>
        <w:t xml:space="preserve">real </w:t>
      </w:r>
      <w:r w:rsidR="00C758AE">
        <w:rPr>
          <w:bCs/>
        </w:rPr>
        <w:t xml:space="preserve">substitution between the technologies. In an attempt to correct for this deficiency, other approaches have been used to describe the substitution between technologies, for example, the ‘technology bundle’ approach using an aggregate CRESH production function </w:t>
      </w:r>
      <w:r w:rsidR="00CC517A">
        <w:rPr>
          <w:bCs/>
        </w:rPr>
        <w:t xml:space="preserve">have been applied in some CGE models </w:t>
      </w:r>
      <w:r w:rsidR="00C758AE">
        <w:rPr>
          <w:bCs/>
        </w:rPr>
        <w:t>(</w:t>
      </w:r>
      <w:r w:rsidR="0065405F">
        <w:rPr>
          <w:bCs/>
        </w:rPr>
        <w:t>ABARE, 1996</w:t>
      </w:r>
      <w:r w:rsidR="00A838C0">
        <w:rPr>
          <w:bCs/>
        </w:rPr>
        <w:t>; Pant, 2007</w:t>
      </w:r>
      <w:r w:rsidR="0065405F">
        <w:rPr>
          <w:bCs/>
        </w:rPr>
        <w:t>)</w:t>
      </w:r>
      <w:r w:rsidR="00C758AE">
        <w:rPr>
          <w:bCs/>
        </w:rPr>
        <w:t>, the ‘</w:t>
      </w:r>
      <w:proofErr w:type="spellStart"/>
      <w:r w:rsidR="00C758AE">
        <w:rPr>
          <w:bCs/>
        </w:rPr>
        <w:t>logit</w:t>
      </w:r>
      <w:proofErr w:type="spellEnd"/>
      <w:r w:rsidR="00C758AE">
        <w:rPr>
          <w:bCs/>
        </w:rPr>
        <w:t xml:space="preserve">’ </w:t>
      </w:r>
      <w:r w:rsidR="00CC517A">
        <w:rPr>
          <w:bCs/>
        </w:rPr>
        <w:t xml:space="preserve">(multinomial logistic function) is also used to explain technology choice in other models </w:t>
      </w:r>
      <w:r w:rsidR="00C758AE">
        <w:rPr>
          <w:bCs/>
        </w:rPr>
        <w:t>(</w:t>
      </w:r>
      <w:r w:rsidR="0065405F" w:rsidRPr="005D5177">
        <w:t>Schumacher and Sands</w:t>
      </w:r>
      <w:r w:rsidR="0065405F">
        <w:t>,</w:t>
      </w:r>
      <w:r w:rsidR="0065405F" w:rsidRPr="005D5177">
        <w:t xml:space="preserve"> 2006)</w:t>
      </w:r>
      <w:r w:rsidR="00C758AE">
        <w:rPr>
          <w:bCs/>
        </w:rPr>
        <w:t>. These approaches have</w:t>
      </w:r>
      <w:r w:rsidR="00CC517A">
        <w:rPr>
          <w:bCs/>
        </w:rPr>
        <w:t xml:space="preserve"> the improvements </w:t>
      </w:r>
      <w:proofErr w:type="gramStart"/>
      <w:r w:rsidR="00CC517A">
        <w:rPr>
          <w:bCs/>
        </w:rPr>
        <w:t>of a</w:t>
      </w:r>
      <w:r w:rsidR="00C758AE">
        <w:rPr>
          <w:bCs/>
        </w:rPr>
        <w:t xml:space="preserve"> detailed descriptions</w:t>
      </w:r>
      <w:proofErr w:type="gramEnd"/>
      <w:r w:rsidR="00C758AE">
        <w:rPr>
          <w:bCs/>
        </w:rPr>
        <w:t xml:space="preserve"> of the technologies from a ‘bottom-up’ perspective, </w:t>
      </w:r>
      <w:r w:rsidR="00CC517A">
        <w:rPr>
          <w:bCs/>
        </w:rPr>
        <w:t>h</w:t>
      </w:r>
      <w:r w:rsidR="00D33588">
        <w:rPr>
          <w:bCs/>
        </w:rPr>
        <w:t xml:space="preserve">owever, </w:t>
      </w:r>
      <w:r w:rsidR="00CC517A">
        <w:rPr>
          <w:bCs/>
        </w:rPr>
        <w:t xml:space="preserve">they still rely mostly on the ‘top-down’ (aggregate production function) approach to explain the interactions between </w:t>
      </w:r>
      <w:r w:rsidR="00D33588">
        <w:rPr>
          <w:bCs/>
        </w:rPr>
        <w:t>the</w:t>
      </w:r>
      <w:r w:rsidR="00CC517A">
        <w:rPr>
          <w:bCs/>
        </w:rPr>
        <w:t>se</w:t>
      </w:r>
      <w:r w:rsidR="00D33588">
        <w:rPr>
          <w:bCs/>
        </w:rPr>
        <w:t xml:space="preserve"> technologies</w:t>
      </w:r>
      <w:r w:rsidR="00CC517A">
        <w:rPr>
          <w:bCs/>
        </w:rPr>
        <w:t>. This can lead to some inaccuracies in some areas.</w:t>
      </w:r>
      <w:r w:rsidR="00D33588">
        <w:rPr>
          <w:bCs/>
        </w:rPr>
        <w:t xml:space="preserve"> </w:t>
      </w:r>
      <w:r w:rsidR="00FC1588">
        <w:rPr>
          <w:bCs/>
        </w:rPr>
        <w:t>For example, i</w:t>
      </w:r>
      <w:r w:rsidR="00D33588">
        <w:rPr>
          <w:bCs/>
        </w:rPr>
        <w:t xml:space="preserve">n the case of the CRESH technology bundle approach, the </w:t>
      </w:r>
      <w:r w:rsidR="00FC1588">
        <w:rPr>
          <w:bCs/>
        </w:rPr>
        <w:t xml:space="preserve">summation of all the electricity outputs from all the technologies will not be equal </w:t>
      </w:r>
      <w:r w:rsidR="00CC517A">
        <w:rPr>
          <w:bCs/>
        </w:rPr>
        <w:t xml:space="preserve">exactly </w:t>
      </w:r>
      <w:r w:rsidR="00FC1588">
        <w:rPr>
          <w:bCs/>
        </w:rPr>
        <w:t xml:space="preserve">to the output of the electricity sector, and hence some ‘adjustment factor’ must </w:t>
      </w:r>
      <w:r w:rsidR="00CC517A">
        <w:rPr>
          <w:bCs/>
        </w:rPr>
        <w:t xml:space="preserve">always </w:t>
      </w:r>
      <w:r w:rsidR="00FC1588">
        <w:rPr>
          <w:bCs/>
        </w:rPr>
        <w:t xml:space="preserve">be </w:t>
      </w:r>
      <w:r w:rsidR="00CC517A">
        <w:rPr>
          <w:bCs/>
        </w:rPr>
        <w:t xml:space="preserve">used </w:t>
      </w:r>
      <w:r w:rsidR="00FC1588">
        <w:rPr>
          <w:bCs/>
        </w:rPr>
        <w:t xml:space="preserve">which is not </w:t>
      </w:r>
      <w:r w:rsidR="00CC517A">
        <w:rPr>
          <w:bCs/>
        </w:rPr>
        <w:t xml:space="preserve">directly </w:t>
      </w:r>
      <w:r w:rsidR="00FC1588">
        <w:rPr>
          <w:bCs/>
        </w:rPr>
        <w:t xml:space="preserve">explainable by the </w:t>
      </w:r>
      <w:r w:rsidR="00CC517A">
        <w:rPr>
          <w:bCs/>
        </w:rPr>
        <w:t xml:space="preserve">function </w:t>
      </w:r>
      <w:r w:rsidR="00FC1588">
        <w:rPr>
          <w:bCs/>
        </w:rPr>
        <w:t>itself.</w:t>
      </w:r>
      <w:r w:rsidR="00FC1588">
        <w:rPr>
          <w:rStyle w:val="FootnoteReference"/>
          <w:bCs/>
        </w:rPr>
        <w:footnoteReference w:id="1"/>
      </w:r>
      <w:r w:rsidR="00FC1588">
        <w:rPr>
          <w:bCs/>
        </w:rPr>
        <w:t xml:space="preserve"> </w:t>
      </w:r>
      <w:r w:rsidR="005A3706">
        <w:rPr>
          <w:bCs/>
        </w:rPr>
        <w:t xml:space="preserve">In </w:t>
      </w:r>
      <w:r w:rsidR="005A3706">
        <w:t xml:space="preserve">the case of the </w:t>
      </w:r>
      <w:proofErr w:type="spellStart"/>
      <w:r w:rsidR="005A3706">
        <w:t>logit</w:t>
      </w:r>
      <w:proofErr w:type="spellEnd"/>
      <w:r w:rsidR="005A3706">
        <w:t xml:space="preserve"> approach, a </w:t>
      </w:r>
      <w:r w:rsidR="005A3706">
        <w:lastRenderedPageBreak/>
        <w:t>discrepancy can occur between the summation of all the costs of the technologies and the total cost of the sector which is also not explainable by the approach itself.</w:t>
      </w:r>
    </w:p>
    <w:p w:rsidR="0039438F" w:rsidRDefault="005A3706" w:rsidP="00553B0D">
      <w:pPr>
        <w:autoSpaceDE w:val="0"/>
        <w:autoSpaceDN w:val="0"/>
        <w:adjustRightInd w:val="0"/>
        <w:spacing w:before="120" w:line="360" w:lineRule="auto"/>
      </w:pPr>
      <w:r>
        <w:t xml:space="preserve">In this paper, we </w:t>
      </w:r>
      <w:r w:rsidR="00AD2427">
        <w:t xml:space="preserve">provide an alternative to </w:t>
      </w:r>
      <w:r>
        <w:t xml:space="preserve">the </w:t>
      </w:r>
      <w:r w:rsidR="009726E5">
        <w:t xml:space="preserve">aggregate production function approach </w:t>
      </w:r>
      <w:r w:rsidR="00AD2427">
        <w:t>in explaining the competition between the different technologies in the electricity market. W</w:t>
      </w:r>
      <w:r w:rsidR="009726E5">
        <w:t xml:space="preserve">e </w:t>
      </w:r>
      <w:r w:rsidR="00AD2427">
        <w:t xml:space="preserve">assume that </w:t>
      </w:r>
      <w:r w:rsidR="009726E5">
        <w:t xml:space="preserve">different </w:t>
      </w:r>
      <w:r w:rsidR="00AD2427">
        <w:t>suppliers (</w:t>
      </w:r>
      <w:r w:rsidR="009726E5">
        <w:t>players</w:t>
      </w:r>
      <w:r w:rsidR="0039438F">
        <w:t xml:space="preserve">) </w:t>
      </w:r>
      <w:r w:rsidR="009726E5">
        <w:t xml:space="preserve">in the market who use </w:t>
      </w:r>
      <w:r w:rsidR="0065405F">
        <w:t xml:space="preserve">these </w:t>
      </w:r>
      <w:r w:rsidR="00AD2427">
        <w:t xml:space="preserve">different </w:t>
      </w:r>
      <w:r w:rsidR="009726E5">
        <w:t>technologies</w:t>
      </w:r>
      <w:r w:rsidR="00AD2427">
        <w:t xml:space="preserve"> face with different cost structures and hence have to rely on different strategies in protecting their cost base to maximize their profits. Those suppliers with technologies which exhibit constant returns to scale (CRTS) with flexible capital base (e.g. </w:t>
      </w:r>
      <w:r w:rsidR="0088536E">
        <w:t xml:space="preserve">non-hydro </w:t>
      </w:r>
      <w:r w:rsidR="00AD2427">
        <w:t xml:space="preserve">renewable technologies) </w:t>
      </w:r>
      <w:r w:rsidR="0088536E">
        <w:t xml:space="preserve">can  recover their costs and maximize their profits simply by producing up to the level where the market price is equal to their marginal production costs (including marginal capital costs). That is, they can be perfect competitors or price takers in the market. On the other hand, other suppliers with technologies which can exhibit some degree of scale economies due to the problem of indivisibility of capital (i.e. large up-front capital costs) such as coal, nuclear or hydro electricity technologies may not be able to produce up to the level where the market price is equal to their marginal production costs and still recover all costs (because of this large up-front capital costs). In these cases, suppliers face with a decreasing average cost curve and hence cannot increase production to reduce cost if in so doing they also reduce the market price and therefore reduce their profit. Profit maximizing </w:t>
      </w:r>
      <w:proofErr w:type="spellStart"/>
      <w:r w:rsidR="0088536E">
        <w:t>behaviour</w:t>
      </w:r>
      <w:proofErr w:type="spellEnd"/>
      <w:r w:rsidR="0088536E">
        <w:t xml:space="preserve"> in this case requires the suppliers to act as though a ‘natural monopolist’ (</w:t>
      </w:r>
      <w:proofErr w:type="spellStart"/>
      <w:r w:rsidR="0088536E">
        <w:t>Baumol</w:t>
      </w:r>
      <w:proofErr w:type="spellEnd"/>
      <w:r w:rsidR="0088536E">
        <w:t xml:space="preserve">, 1977), or </w:t>
      </w:r>
      <w:r w:rsidR="006D33D8">
        <w:t xml:space="preserve">as a </w:t>
      </w:r>
      <w:proofErr w:type="spellStart"/>
      <w:r w:rsidR="006D33D8">
        <w:t>Cournot</w:t>
      </w:r>
      <w:proofErr w:type="spellEnd"/>
      <w:r w:rsidR="006D33D8">
        <w:t xml:space="preserve"> </w:t>
      </w:r>
      <w:proofErr w:type="spellStart"/>
      <w:r w:rsidR="006D33D8">
        <w:t>oligopolist</w:t>
      </w:r>
      <w:proofErr w:type="spellEnd"/>
      <w:r w:rsidR="006D33D8">
        <w:t xml:space="preserve"> (if there are more than one players using technologies of this type) who require a mark-up of market price over marginal costs to recover all costs (or to maximize profits). Competition between these </w:t>
      </w:r>
      <w:proofErr w:type="spellStart"/>
      <w:r w:rsidR="006D33D8">
        <w:t>Cournot</w:t>
      </w:r>
      <w:proofErr w:type="spellEnd"/>
      <w:r w:rsidR="006D33D8">
        <w:t xml:space="preserve"> </w:t>
      </w:r>
      <w:proofErr w:type="spellStart"/>
      <w:r w:rsidR="006D33D8">
        <w:t>oligopolists</w:t>
      </w:r>
      <w:proofErr w:type="spellEnd"/>
      <w:r w:rsidR="006D33D8">
        <w:t xml:space="preserve"> on the one hand, and between the </w:t>
      </w:r>
      <w:proofErr w:type="spellStart"/>
      <w:r w:rsidR="006D33D8">
        <w:t>oligopolists</w:t>
      </w:r>
      <w:proofErr w:type="spellEnd"/>
      <w:r w:rsidR="006D33D8">
        <w:t xml:space="preserve"> with the ‘fringe competitors’ on the other hand is the main driving force  behind the competition between the technologies. The equilibrium outcome for the electricity supply market therefore is best described in terms of this model of ‘dominant versus fringe’ imperfect competition rather than as a case of perfect competition between all suppliers who use CRTS technologies (as is implicitly assumed in all aggregate production function approach).</w:t>
      </w:r>
    </w:p>
    <w:p w:rsidR="00713B48" w:rsidRDefault="00713B48" w:rsidP="00553B0D">
      <w:pPr>
        <w:autoSpaceDE w:val="0"/>
        <w:autoSpaceDN w:val="0"/>
        <w:adjustRightInd w:val="0"/>
        <w:spacing w:before="120" w:line="360" w:lineRule="auto"/>
      </w:pPr>
      <w:r>
        <w:t xml:space="preserve">The plan of the paper is as follows. Section 2 presents a theoretical analysis of the </w:t>
      </w:r>
      <w:r w:rsidR="00F5673B">
        <w:t xml:space="preserve">electricity </w:t>
      </w:r>
      <w:r>
        <w:t xml:space="preserve">supply </w:t>
      </w:r>
      <w:r w:rsidR="00F5673B">
        <w:t xml:space="preserve">market and provides a model to describe the </w:t>
      </w:r>
      <w:proofErr w:type="spellStart"/>
      <w:r w:rsidR="00F5673B">
        <w:t>behaviour</w:t>
      </w:r>
      <w:proofErr w:type="spellEnd"/>
      <w:r w:rsidR="00F5673B">
        <w:t xml:space="preserve"> of different players in this market. </w:t>
      </w:r>
      <w:r>
        <w:lastRenderedPageBreak/>
        <w:t xml:space="preserve">Section 3 </w:t>
      </w:r>
      <w:r w:rsidR="00F5673B">
        <w:t xml:space="preserve">applies this model to an empirical example, using the case of Japan electricity market as an illustration. </w:t>
      </w:r>
      <w:proofErr w:type="gramStart"/>
      <w:r w:rsidRPr="002C0F1C">
        <w:t xml:space="preserve">Section 4 </w:t>
      </w:r>
      <w:r w:rsidR="001C45A7">
        <w:t>reviews the results and give</w:t>
      </w:r>
      <w:proofErr w:type="gramEnd"/>
      <w:r w:rsidR="001C45A7">
        <w:t xml:space="preserve"> some </w:t>
      </w:r>
      <w:r>
        <w:t>conclu</w:t>
      </w:r>
      <w:r w:rsidR="001C45A7">
        <w:t>sion</w:t>
      </w:r>
      <w:r>
        <w:t>.</w:t>
      </w:r>
    </w:p>
    <w:p w:rsidR="00713B48" w:rsidRDefault="00713B48" w:rsidP="005A3786">
      <w:pPr>
        <w:numPr>
          <w:ilvl w:val="0"/>
          <w:numId w:val="1"/>
        </w:numPr>
        <w:autoSpaceDE w:val="0"/>
        <w:autoSpaceDN w:val="0"/>
        <w:adjustRightInd w:val="0"/>
        <w:spacing w:before="240" w:after="0" w:line="360" w:lineRule="auto"/>
        <w:ind w:left="567" w:hanging="567"/>
        <w:jc w:val="left"/>
        <w:rPr>
          <w:b/>
          <w:bCs/>
        </w:rPr>
      </w:pPr>
      <w:r>
        <w:rPr>
          <w:b/>
          <w:bCs/>
        </w:rPr>
        <w:t>Theoretical analysis of the electricity supply sector</w:t>
      </w:r>
    </w:p>
    <w:p w:rsidR="00851753" w:rsidRDefault="00470C80" w:rsidP="00C60390">
      <w:pPr>
        <w:spacing w:before="120" w:after="120" w:line="360" w:lineRule="auto"/>
      </w:pPr>
      <w:r w:rsidRPr="00537094">
        <w:t xml:space="preserve">Electricity has some special characteristics which makes the analysis of the electricity market rather </w:t>
      </w:r>
      <w:r w:rsidR="00142E9E">
        <w:t>challenging</w:t>
      </w:r>
      <w:r w:rsidRPr="00537094">
        <w:t>. First, electricity is a non-storable commodity</w:t>
      </w:r>
      <w:r w:rsidRPr="00537094">
        <w:rPr>
          <w:rStyle w:val="FootnoteReference"/>
        </w:rPr>
        <w:footnoteReference w:id="2"/>
      </w:r>
      <w:r w:rsidRPr="00537094">
        <w:t xml:space="preserve"> therefore this imposes a special restriction on production</w:t>
      </w:r>
      <w:r w:rsidR="00D1332C">
        <w:t xml:space="preserve"> activity</w:t>
      </w:r>
      <w:r w:rsidRPr="00537094">
        <w:t xml:space="preserve">: </w:t>
      </w:r>
      <w:r w:rsidRPr="00D1332C">
        <w:rPr>
          <w:i/>
        </w:rPr>
        <w:t>output</w:t>
      </w:r>
      <w:r w:rsidRPr="00537094">
        <w:t xml:space="preserve"> at any time </w:t>
      </w:r>
      <w:r w:rsidR="00D1332C">
        <w:t>cann</w:t>
      </w:r>
      <w:r w:rsidRPr="00537094">
        <w:t xml:space="preserve">ot exceed </w:t>
      </w:r>
      <w:r w:rsidRPr="00537094">
        <w:rPr>
          <w:i/>
        </w:rPr>
        <w:t xml:space="preserve">capacity </w:t>
      </w:r>
      <w:r w:rsidRPr="00537094">
        <w:t xml:space="preserve">for </w:t>
      </w:r>
      <w:r w:rsidR="00677147">
        <w:t>production, and capacity is not easily divisible (i.e. continuously variable) and expensive to install.</w:t>
      </w:r>
      <w:r w:rsidRPr="00537094">
        <w:t xml:space="preserve"> Secondly, electricity demand is highly fluctuating in the short run </w:t>
      </w:r>
      <w:r w:rsidR="00677147">
        <w:t>as well as in the</w:t>
      </w:r>
      <w:r w:rsidRPr="00537094">
        <w:t xml:space="preserve"> long run, </w:t>
      </w:r>
      <w:r w:rsidR="00677147">
        <w:t xml:space="preserve">but particularly in the short run where </w:t>
      </w:r>
      <w:r w:rsidRPr="00537094">
        <w:t xml:space="preserve">the issue of capacity planning must be considered </w:t>
      </w:r>
      <w:r w:rsidR="00677147">
        <w:t>so that supply can meet with the level of demand at any time.</w:t>
      </w:r>
      <w:r w:rsidRPr="00537094">
        <w:t xml:space="preserve"> </w:t>
      </w:r>
      <w:r w:rsidR="002E5E0E">
        <w:t>Traditionally, the</w:t>
      </w:r>
      <w:r w:rsidR="00437EE8">
        <w:t xml:space="preserve"> issue of capacity planning is often considered under the assumption that </w:t>
      </w:r>
      <w:r w:rsidR="002E5E0E">
        <w:t xml:space="preserve">total </w:t>
      </w:r>
      <w:r w:rsidR="00437EE8">
        <w:t xml:space="preserve">demand can be classified into various types </w:t>
      </w:r>
      <w:r w:rsidR="002E5E0E">
        <w:t>o</w:t>
      </w:r>
      <w:r w:rsidR="000948CD">
        <w:t>f</w:t>
      </w:r>
      <w:r w:rsidR="002E5E0E">
        <w:t xml:space="preserve"> </w:t>
      </w:r>
      <w:r w:rsidR="00437EE8">
        <w:t>‘loads’ (e.g. peak</w:t>
      </w:r>
      <w:r w:rsidR="002E5E0E">
        <w:t xml:space="preserve"> load</w:t>
      </w:r>
      <w:r w:rsidR="00437EE8">
        <w:t>, intermediate</w:t>
      </w:r>
      <w:r w:rsidR="002E5E0E">
        <w:t xml:space="preserve"> load</w:t>
      </w:r>
      <w:r w:rsidR="00437EE8">
        <w:t xml:space="preserve">, and </w:t>
      </w:r>
      <w:r w:rsidR="008B29EF">
        <w:t>base</w:t>
      </w:r>
      <w:r w:rsidR="00437EE8">
        <w:t xml:space="preserve"> load) each </w:t>
      </w:r>
      <w:r w:rsidR="000948CD">
        <w:t xml:space="preserve">can be met with a different type of capacity. Base </w:t>
      </w:r>
      <w:r w:rsidR="002E5E0E">
        <w:t xml:space="preserve">load </w:t>
      </w:r>
      <w:r w:rsidR="000948CD">
        <w:t>demand which e</w:t>
      </w:r>
      <w:r w:rsidR="002E5E0E">
        <w:t>xist</w:t>
      </w:r>
      <w:r w:rsidR="000948CD">
        <w:t>s</w:t>
      </w:r>
      <w:r w:rsidR="002E5E0E">
        <w:t xml:space="preserve"> in all periods of time</w:t>
      </w:r>
      <w:r w:rsidR="000948CD">
        <w:t xml:space="preserve"> will have to be met with a type of capacity which is available throughout most of the time, </w:t>
      </w:r>
      <w:r w:rsidR="002E5E0E">
        <w:t xml:space="preserve">while </w:t>
      </w:r>
      <w:r w:rsidR="00844E8B">
        <w:t>intermediate and peak load</w:t>
      </w:r>
      <w:r w:rsidR="000948CD">
        <w:t xml:space="preserve"> demand which </w:t>
      </w:r>
      <w:r w:rsidR="00844E8B">
        <w:t xml:space="preserve">exist only during </w:t>
      </w:r>
      <w:r w:rsidR="000948CD">
        <w:t xml:space="preserve">some </w:t>
      </w:r>
      <w:r w:rsidR="00844E8B">
        <w:t xml:space="preserve">intermediate </w:t>
      </w:r>
      <w:r w:rsidR="000948CD">
        <w:t xml:space="preserve">or </w:t>
      </w:r>
      <w:r w:rsidR="00844E8B">
        <w:t xml:space="preserve">peak periods </w:t>
      </w:r>
      <w:r w:rsidR="000948CD">
        <w:t xml:space="preserve">can be satisfied with capacities which can be turned on for these periods only. Base load capacity typically will have the </w:t>
      </w:r>
      <w:r w:rsidR="00844E8B">
        <w:t>lowest marginal running cost even if marginal capital (</w:t>
      </w:r>
      <w:proofErr w:type="spellStart"/>
      <w:r w:rsidR="00844E8B">
        <w:t>i.e</w:t>
      </w:r>
      <w:proofErr w:type="spellEnd"/>
      <w:r w:rsidR="00844E8B">
        <w:t xml:space="preserve"> capacity) cost can be high.</w:t>
      </w:r>
      <w:r w:rsidR="00844E8B">
        <w:rPr>
          <w:rStyle w:val="FootnoteReference"/>
        </w:rPr>
        <w:footnoteReference w:id="3"/>
      </w:r>
      <w:r w:rsidR="00844E8B">
        <w:t xml:space="preserve"> </w:t>
      </w:r>
      <w:r w:rsidR="000948CD">
        <w:t xml:space="preserve">In contrast, </w:t>
      </w:r>
      <w:r w:rsidR="00844E8B">
        <w:t xml:space="preserve">peak </w:t>
      </w:r>
      <w:r w:rsidR="000948CD">
        <w:t xml:space="preserve">load </w:t>
      </w:r>
      <w:r w:rsidR="00844E8B">
        <w:t xml:space="preserve">capacity </w:t>
      </w:r>
      <w:r w:rsidR="000948CD">
        <w:t xml:space="preserve">will have high marginal running cost while marginal capital cost can be lower, </w:t>
      </w:r>
      <w:r w:rsidR="00844E8B">
        <w:t xml:space="preserve">and intermediate </w:t>
      </w:r>
      <w:r w:rsidR="000948CD">
        <w:t xml:space="preserve">load </w:t>
      </w:r>
      <w:r w:rsidR="00844E8B">
        <w:t>capacity is somewhere in between</w:t>
      </w:r>
      <w:r w:rsidR="000948CD">
        <w:t xml:space="preserve"> the peak and base load capacity in cost characteristics. Often base load capacity is provided by coal and nuclear energy based technologies, while peak load capacity is provided by oil and gas based electricity technology. Renewable electricity </w:t>
      </w:r>
      <w:r w:rsidR="00FC60D4">
        <w:t xml:space="preserve">technology </w:t>
      </w:r>
      <w:r w:rsidR="00851753">
        <w:t xml:space="preserve">in principle </w:t>
      </w:r>
      <w:r w:rsidR="00FC60D4">
        <w:t>can be used to provide for all of these types of capacity but in practice this depends on the availability factor</w:t>
      </w:r>
      <w:r w:rsidR="00851753">
        <w:rPr>
          <w:rStyle w:val="FootnoteReference"/>
        </w:rPr>
        <w:footnoteReference w:id="4"/>
      </w:r>
      <w:r w:rsidR="00FC60D4">
        <w:t xml:space="preserve"> which </w:t>
      </w:r>
      <w:r w:rsidR="00851753">
        <w:t xml:space="preserve">in turn </w:t>
      </w:r>
      <w:r w:rsidR="00FC60D4">
        <w:t xml:space="preserve">is determined </w:t>
      </w:r>
      <w:r w:rsidR="00851753">
        <w:t xml:space="preserve">primarily </w:t>
      </w:r>
      <w:r w:rsidR="00FC60D4">
        <w:t xml:space="preserve">by seasonal and weather conditions rather than </w:t>
      </w:r>
      <w:r w:rsidR="00851753">
        <w:t>by cost factors alone.</w:t>
      </w:r>
      <w:r w:rsidR="00FC60D4">
        <w:t xml:space="preserve"> As a result, it can be assumed that </w:t>
      </w:r>
      <w:r w:rsidR="00851753">
        <w:t>‘</w:t>
      </w:r>
      <w:r w:rsidR="00FC60D4">
        <w:t>price elasticity of supply</w:t>
      </w:r>
      <w:r w:rsidR="00851753">
        <w:t>’</w:t>
      </w:r>
      <w:r w:rsidR="00FC60D4">
        <w:t xml:space="preserve"> for renewable electricity is </w:t>
      </w:r>
      <w:r w:rsidR="00851753">
        <w:t xml:space="preserve">to be </w:t>
      </w:r>
      <w:r w:rsidR="00FC60D4">
        <w:lastRenderedPageBreak/>
        <w:t xml:space="preserve">determined </w:t>
      </w:r>
      <w:r w:rsidR="00851753">
        <w:t xml:space="preserve">in practice </w:t>
      </w:r>
      <w:r w:rsidR="00FC60D4">
        <w:t xml:space="preserve">by geographical </w:t>
      </w:r>
      <w:r w:rsidR="00851753">
        <w:t xml:space="preserve">information system (GIS) </w:t>
      </w:r>
      <w:r w:rsidR="00FC60D4">
        <w:t xml:space="preserve">rather than </w:t>
      </w:r>
      <w:r w:rsidR="00851753">
        <w:t xml:space="preserve">by just </w:t>
      </w:r>
      <w:r w:rsidR="00FC60D4">
        <w:t xml:space="preserve">economic </w:t>
      </w:r>
      <w:r w:rsidR="00851753">
        <w:t xml:space="preserve">factors </w:t>
      </w:r>
      <w:r w:rsidR="00FC60D4">
        <w:t xml:space="preserve">(such as capital and </w:t>
      </w:r>
      <w:proofErr w:type="spellStart"/>
      <w:r w:rsidR="00FC60D4">
        <w:t>labour</w:t>
      </w:r>
      <w:proofErr w:type="spellEnd"/>
      <w:r w:rsidR="00FC60D4">
        <w:t xml:space="preserve"> running costs)</w:t>
      </w:r>
      <w:r w:rsidR="00851753">
        <w:t>,</w:t>
      </w:r>
      <w:r w:rsidR="00FC60D4">
        <w:t xml:space="preserve"> in contrast to non-renewable electricity where </w:t>
      </w:r>
      <w:r w:rsidR="00851753">
        <w:t xml:space="preserve">the </w:t>
      </w:r>
      <w:r w:rsidR="00FC60D4">
        <w:t xml:space="preserve">economic </w:t>
      </w:r>
      <w:r w:rsidR="00851753">
        <w:t xml:space="preserve">factors are </w:t>
      </w:r>
      <w:r w:rsidR="00801863">
        <w:t xml:space="preserve">the </w:t>
      </w:r>
      <w:r w:rsidR="00851753">
        <w:t>more important</w:t>
      </w:r>
      <w:r w:rsidR="00801863">
        <w:t xml:space="preserve"> factors</w:t>
      </w:r>
      <w:r w:rsidR="00851753">
        <w:t>.</w:t>
      </w:r>
    </w:p>
    <w:p w:rsidR="00F914DE" w:rsidRDefault="00E04A97" w:rsidP="00C60390">
      <w:pPr>
        <w:spacing w:before="120" w:after="120" w:line="360" w:lineRule="auto"/>
      </w:pPr>
      <w:r>
        <w:t xml:space="preserve">In Figure 1, we show the electricity market as consisting of an average demand curve </w:t>
      </w:r>
      <w:r>
        <w:rPr>
          <w:i/>
        </w:rPr>
        <w:t>D</w:t>
      </w:r>
      <w:r w:rsidRPr="00E04A97">
        <w:rPr>
          <w:i/>
          <w:vertAlign w:val="subscript"/>
        </w:rPr>
        <w:t>ave</w:t>
      </w:r>
      <w:r>
        <w:rPr>
          <w:i/>
        </w:rPr>
        <w:t xml:space="preserve"> </w:t>
      </w:r>
      <w:r>
        <w:t xml:space="preserve">(averaged over a particular period of time such as a </w:t>
      </w:r>
      <w:r w:rsidR="00657AAC">
        <w:t>y</w:t>
      </w:r>
      <w:r>
        <w:t xml:space="preserve">ear of 8760 hours), and a ‘capacity supply curve’ which consists of a base load capacity, intermediate load capacity and peak load capacity </w:t>
      </w:r>
      <w:r w:rsidR="005D6EA0">
        <w:t xml:space="preserve">respectively </w:t>
      </w:r>
      <w:r>
        <w:t xml:space="preserve">adding up to </w:t>
      </w:r>
      <w:r w:rsidR="005D6EA0">
        <w:t xml:space="preserve">the </w:t>
      </w:r>
      <w:r>
        <w:t xml:space="preserve">total capacity which is available for the </w:t>
      </w:r>
      <w:r w:rsidR="00170E46">
        <w:t xml:space="preserve">production </w:t>
      </w:r>
      <w:r w:rsidR="00582A27">
        <w:t>of electricity throughout the year.</w:t>
      </w:r>
      <w:r>
        <w:t xml:space="preserve"> </w:t>
      </w:r>
      <w:r w:rsidR="00582A27">
        <w:t xml:space="preserve">The cost characteristics of these capacities are shown as </w:t>
      </w:r>
      <w:r w:rsidR="005D6EA0">
        <w:rPr>
          <w:i/>
        </w:rPr>
        <w:t>C</w:t>
      </w:r>
      <w:r w:rsidR="008B29EF" w:rsidRPr="008B29EF">
        <w:rPr>
          <w:vertAlign w:val="subscript"/>
        </w:rPr>
        <w:t>1</w:t>
      </w:r>
      <w:r w:rsidR="008B29EF">
        <w:t>,</w:t>
      </w:r>
      <w:r w:rsidR="008B29EF" w:rsidRPr="008B29EF">
        <w:rPr>
          <w:i/>
        </w:rPr>
        <w:t xml:space="preserve"> </w:t>
      </w:r>
      <w:r w:rsidR="005D6EA0">
        <w:rPr>
          <w:i/>
        </w:rPr>
        <w:t>C</w:t>
      </w:r>
      <w:r w:rsidR="008B29EF">
        <w:rPr>
          <w:vertAlign w:val="subscript"/>
        </w:rPr>
        <w:t>2</w:t>
      </w:r>
      <w:r w:rsidR="008B29EF">
        <w:t xml:space="preserve">, </w:t>
      </w:r>
      <w:r w:rsidR="00196A41">
        <w:t xml:space="preserve">and </w:t>
      </w:r>
      <w:r w:rsidR="005D6EA0">
        <w:rPr>
          <w:i/>
        </w:rPr>
        <w:t>C</w:t>
      </w:r>
      <w:r w:rsidR="008B29EF">
        <w:rPr>
          <w:vertAlign w:val="subscript"/>
        </w:rPr>
        <w:t>3</w:t>
      </w:r>
      <w:r w:rsidR="008B29EF" w:rsidRPr="008B29EF">
        <w:t xml:space="preserve"> </w:t>
      </w:r>
      <w:r w:rsidR="00170E46">
        <w:t xml:space="preserve">respectively </w:t>
      </w:r>
      <w:r w:rsidR="001814AB">
        <w:t>w</w:t>
      </w:r>
      <w:r w:rsidR="00582A27">
        <w:t xml:space="preserve">hich </w:t>
      </w:r>
      <w:r w:rsidR="008B29EF" w:rsidRPr="008B29EF">
        <w:t xml:space="preserve">represent the </w:t>
      </w:r>
      <w:r w:rsidR="00582A27">
        <w:t>(constant) marginal cost</w:t>
      </w:r>
      <w:r w:rsidR="00582A27">
        <w:rPr>
          <w:rStyle w:val="FootnoteReference"/>
        </w:rPr>
        <w:footnoteReference w:id="5"/>
      </w:r>
      <w:r w:rsidR="00582A27">
        <w:t xml:space="preserve"> of produc</w:t>
      </w:r>
      <w:r w:rsidR="005D6EA0">
        <w:t>in</w:t>
      </w:r>
      <w:r w:rsidR="00170E46">
        <w:t>g</w:t>
      </w:r>
      <w:r w:rsidR="005D6EA0">
        <w:t xml:space="preserve"> </w:t>
      </w:r>
      <w:r w:rsidR="00582A27">
        <w:t xml:space="preserve">electricity </w:t>
      </w:r>
      <w:r w:rsidR="005D6EA0">
        <w:t xml:space="preserve">using </w:t>
      </w:r>
      <w:r w:rsidR="00582A27">
        <w:t xml:space="preserve">these capacities. </w:t>
      </w:r>
      <w:r w:rsidR="00C60390">
        <w:t xml:space="preserve">The base load capacity is </w:t>
      </w:r>
      <w:r w:rsidR="00582A27">
        <w:t xml:space="preserve">seen to have </w:t>
      </w:r>
      <w:r w:rsidR="00C60390">
        <w:t xml:space="preserve">the </w:t>
      </w:r>
      <w:r w:rsidR="003C1FE6">
        <w:t xml:space="preserve">lowest marginal cost </w:t>
      </w:r>
      <w:r w:rsidR="00582A27">
        <w:t xml:space="preserve">of </w:t>
      </w:r>
      <w:r w:rsidR="003C1FE6">
        <w:rPr>
          <w:i/>
        </w:rPr>
        <w:t>C</w:t>
      </w:r>
      <w:r w:rsidR="003C1FE6" w:rsidRPr="008B29EF">
        <w:rPr>
          <w:vertAlign w:val="subscript"/>
        </w:rPr>
        <w:t>1</w:t>
      </w:r>
      <w:r w:rsidR="003C1FE6">
        <w:t xml:space="preserve">. Next </w:t>
      </w:r>
      <w:proofErr w:type="gramStart"/>
      <w:r w:rsidR="003C1FE6">
        <w:t>comes</w:t>
      </w:r>
      <w:proofErr w:type="gramEnd"/>
      <w:r w:rsidR="003C1FE6">
        <w:t xml:space="preserve"> the intermediate capacity with intermediate level marginal cost </w:t>
      </w:r>
      <w:r w:rsidR="003C1FE6">
        <w:rPr>
          <w:i/>
        </w:rPr>
        <w:t>C</w:t>
      </w:r>
      <w:r w:rsidR="003C1FE6">
        <w:rPr>
          <w:vertAlign w:val="subscript"/>
        </w:rPr>
        <w:t>2</w:t>
      </w:r>
      <w:r w:rsidR="003C1FE6">
        <w:t xml:space="preserve">, and finally, peak load capacity with </w:t>
      </w:r>
      <w:r w:rsidR="00170E46">
        <w:t xml:space="preserve">the </w:t>
      </w:r>
      <w:r w:rsidR="003C1FE6">
        <w:t xml:space="preserve">highest marginal cost </w:t>
      </w:r>
      <w:r w:rsidR="003C1FE6">
        <w:rPr>
          <w:i/>
        </w:rPr>
        <w:t>C</w:t>
      </w:r>
      <w:r w:rsidR="003C1FE6">
        <w:rPr>
          <w:vertAlign w:val="subscript"/>
        </w:rPr>
        <w:t>3</w:t>
      </w:r>
      <w:r w:rsidR="003C1FE6">
        <w:t xml:space="preserve">. </w:t>
      </w:r>
      <w:r w:rsidR="005D6EA0">
        <w:t>Assuming that the (</w:t>
      </w:r>
      <w:r w:rsidR="00170E46">
        <w:t>yearly</w:t>
      </w:r>
      <w:r w:rsidR="005D6EA0">
        <w:t xml:space="preserve">) demand for electricity can be ‘ordered’ in such a way </w:t>
      </w:r>
      <w:r w:rsidR="00473263">
        <w:t>that the hourly</w:t>
      </w:r>
      <w:r w:rsidR="00170E46">
        <w:t xml:space="preserve"> demand for </w:t>
      </w:r>
      <w:r w:rsidR="00473263">
        <w:t xml:space="preserve">electricity </w:t>
      </w:r>
      <w:r w:rsidR="00170E46">
        <w:t xml:space="preserve">can </w:t>
      </w:r>
      <w:r w:rsidR="005D6EA0">
        <w:t xml:space="preserve">go from the lowest level </w:t>
      </w:r>
      <w:r w:rsidR="00170E46">
        <w:t>(on the left)</w:t>
      </w:r>
      <w:r w:rsidR="005D6EA0">
        <w:t xml:space="preserve"> to the highest level </w:t>
      </w:r>
      <w:r w:rsidR="00170E46">
        <w:t>(</w:t>
      </w:r>
      <w:r w:rsidR="005D6EA0">
        <w:t>on the right</w:t>
      </w:r>
      <w:r w:rsidR="00170E46">
        <w:t>)</w:t>
      </w:r>
      <w:r w:rsidR="00473263">
        <w:t xml:space="preserve"> – as represented by the three different ‘demand curves’ </w:t>
      </w:r>
      <w:r w:rsidR="00473263">
        <w:rPr>
          <w:i/>
        </w:rPr>
        <w:t>D</w:t>
      </w:r>
      <w:r w:rsidR="00473263" w:rsidRPr="008B29EF">
        <w:rPr>
          <w:vertAlign w:val="subscript"/>
        </w:rPr>
        <w:t>1</w:t>
      </w:r>
      <w:r w:rsidR="00473263">
        <w:t>,</w:t>
      </w:r>
      <w:r w:rsidR="00473263" w:rsidRPr="008B29EF">
        <w:rPr>
          <w:i/>
        </w:rPr>
        <w:t xml:space="preserve"> </w:t>
      </w:r>
      <w:r w:rsidR="00473263">
        <w:rPr>
          <w:i/>
        </w:rPr>
        <w:t>D</w:t>
      </w:r>
      <w:r w:rsidR="00473263">
        <w:rPr>
          <w:vertAlign w:val="subscript"/>
        </w:rPr>
        <w:t>2</w:t>
      </w:r>
      <w:r w:rsidR="00473263">
        <w:t xml:space="preserve">, </w:t>
      </w:r>
      <w:r w:rsidR="00473263">
        <w:rPr>
          <w:i/>
        </w:rPr>
        <w:t>D</w:t>
      </w:r>
      <w:r w:rsidR="00473263">
        <w:rPr>
          <w:vertAlign w:val="subscript"/>
        </w:rPr>
        <w:t>3</w:t>
      </w:r>
      <w:r w:rsidR="00170E46">
        <w:t xml:space="preserve"> </w:t>
      </w:r>
      <w:r w:rsidR="005D6EA0">
        <w:t xml:space="preserve"> </w:t>
      </w:r>
      <w:r w:rsidR="00473263">
        <w:t xml:space="preserve">in Figure 1- when demand is lowest at </w:t>
      </w:r>
      <w:r w:rsidR="00473263">
        <w:rPr>
          <w:i/>
        </w:rPr>
        <w:t>D</w:t>
      </w:r>
      <w:r w:rsidR="00473263" w:rsidRPr="008B29EF">
        <w:rPr>
          <w:vertAlign w:val="subscript"/>
        </w:rPr>
        <w:t>1</w:t>
      </w:r>
      <w:r w:rsidR="00473263">
        <w:t xml:space="preserve"> , only base load capacity is utilized, with a marginal cost of supply of </w:t>
      </w:r>
      <w:r w:rsidR="00473263">
        <w:rPr>
          <w:i/>
        </w:rPr>
        <w:t>C</w:t>
      </w:r>
      <w:r w:rsidR="00473263" w:rsidRPr="008B29EF">
        <w:rPr>
          <w:vertAlign w:val="subscript"/>
        </w:rPr>
        <w:t>1</w:t>
      </w:r>
      <w:r w:rsidR="00473263">
        <w:t xml:space="preserve"> whereas if demand is highest at </w:t>
      </w:r>
      <w:r w:rsidR="00473263">
        <w:rPr>
          <w:i/>
        </w:rPr>
        <w:t>D</w:t>
      </w:r>
      <w:r w:rsidR="00473263">
        <w:rPr>
          <w:vertAlign w:val="subscript"/>
        </w:rPr>
        <w:t>3</w:t>
      </w:r>
      <w:r w:rsidR="00473263">
        <w:t xml:space="preserve"> all types of capacities must be used, with the </w:t>
      </w:r>
      <w:r w:rsidR="005D6EA0">
        <w:t xml:space="preserve">highest </w:t>
      </w:r>
      <w:r w:rsidR="00473263">
        <w:t xml:space="preserve">marginal cost of supply of </w:t>
      </w:r>
      <w:r w:rsidR="00473263">
        <w:rPr>
          <w:i/>
        </w:rPr>
        <w:t>C</w:t>
      </w:r>
      <w:r w:rsidR="00473263">
        <w:rPr>
          <w:vertAlign w:val="subscript"/>
        </w:rPr>
        <w:t>3</w:t>
      </w:r>
      <w:r w:rsidR="00473263">
        <w:t xml:space="preserve">. On average it can be said that demand is at the level </w:t>
      </w:r>
      <w:r w:rsidR="00473263">
        <w:rPr>
          <w:i/>
        </w:rPr>
        <w:t>D</w:t>
      </w:r>
      <w:r w:rsidR="00473263">
        <w:rPr>
          <w:vertAlign w:val="subscript"/>
        </w:rPr>
        <w:t>ave</w:t>
      </w:r>
      <w:r w:rsidR="00473263" w:rsidRPr="00473263">
        <w:rPr>
          <w:i/>
        </w:rPr>
        <w:t xml:space="preserve"> </w:t>
      </w:r>
      <w:r w:rsidR="00473263">
        <w:t xml:space="preserve">as shown on the right hand graph of Figure 1, </w:t>
      </w:r>
      <w:r w:rsidR="002E3DF0">
        <w:t xml:space="preserve">and the </w:t>
      </w:r>
      <w:r w:rsidR="00473263">
        <w:t xml:space="preserve">average </w:t>
      </w:r>
      <w:r w:rsidR="00473263" w:rsidRPr="002E3DF0">
        <w:rPr>
          <w:i/>
        </w:rPr>
        <w:t>cost</w:t>
      </w:r>
      <w:r w:rsidR="00473263">
        <w:t xml:space="preserve"> of supply </w:t>
      </w:r>
      <w:r w:rsidR="002E3DF0">
        <w:t>is</w:t>
      </w:r>
      <w:r w:rsidR="00473263">
        <w:t xml:space="preserve"> </w:t>
      </w:r>
      <w:r w:rsidR="00473263">
        <w:rPr>
          <w:i/>
        </w:rPr>
        <w:t>C</w:t>
      </w:r>
      <w:r w:rsidR="00473263">
        <w:rPr>
          <w:vertAlign w:val="subscript"/>
        </w:rPr>
        <w:t>ave</w:t>
      </w:r>
      <w:r w:rsidR="00473263" w:rsidRPr="00473263">
        <w:t xml:space="preserve"> </w:t>
      </w:r>
      <w:proofErr w:type="gramStart"/>
      <w:r w:rsidR="002E3DF0">
        <w:t>To</w:t>
      </w:r>
      <w:proofErr w:type="gramEnd"/>
      <w:r w:rsidR="002E3DF0">
        <w:t xml:space="preserve"> determine the actual supply</w:t>
      </w:r>
      <w:r w:rsidR="001814AB">
        <w:t xml:space="preserve"> </w:t>
      </w:r>
      <w:r w:rsidR="001814AB" w:rsidRPr="002E3DF0">
        <w:rPr>
          <w:i/>
        </w:rPr>
        <w:t>curve</w:t>
      </w:r>
      <w:r w:rsidR="001814AB">
        <w:t xml:space="preserve"> for electricity</w:t>
      </w:r>
      <w:r w:rsidR="002E3DF0">
        <w:t xml:space="preserve">, however, </w:t>
      </w:r>
      <w:r w:rsidR="00196A41">
        <w:t xml:space="preserve">this </w:t>
      </w:r>
      <w:r w:rsidR="002E3DF0">
        <w:t>is more involved.</w:t>
      </w:r>
      <w:r w:rsidR="001814AB">
        <w:t xml:space="preserve"> </w:t>
      </w:r>
      <w:r w:rsidR="00196A41">
        <w:t>It</w:t>
      </w:r>
      <w:r w:rsidR="002E3DF0">
        <w:t xml:space="preserve"> is because this depends on </w:t>
      </w:r>
      <w:r w:rsidR="000E4FFA">
        <w:t xml:space="preserve">the structure of the market and on </w:t>
      </w:r>
      <w:r w:rsidR="002E3DF0">
        <w:t xml:space="preserve">assumptions made about </w:t>
      </w:r>
      <w:r w:rsidR="000E4FFA">
        <w:t xml:space="preserve">supply </w:t>
      </w:r>
      <w:proofErr w:type="spellStart"/>
      <w:r w:rsidR="002E3DF0">
        <w:t>behaviour</w:t>
      </w:r>
      <w:proofErr w:type="spellEnd"/>
      <w:r w:rsidR="002E3DF0">
        <w:t xml:space="preserve"> of different </w:t>
      </w:r>
      <w:r w:rsidR="0074335E">
        <w:t xml:space="preserve">players in the market especially if they are using different </w:t>
      </w:r>
      <w:r w:rsidR="000E4FFA">
        <w:t xml:space="preserve">technologies </w:t>
      </w:r>
      <w:r w:rsidR="0074335E">
        <w:t>with substantial</w:t>
      </w:r>
      <w:r w:rsidR="00196A41">
        <w:t>ly</w:t>
      </w:r>
      <w:r w:rsidR="0074335E">
        <w:t xml:space="preserve"> differen</w:t>
      </w:r>
      <w:r w:rsidR="00196A41">
        <w:t>t</w:t>
      </w:r>
      <w:r w:rsidR="0074335E">
        <w:t xml:space="preserve"> cost structures.</w:t>
      </w:r>
      <w:r w:rsidR="002E3DF0">
        <w:t xml:space="preserve"> </w:t>
      </w:r>
      <w:r w:rsidR="000E4FFA">
        <w:t xml:space="preserve">For example, if it can be assumed that </w:t>
      </w:r>
      <w:r w:rsidR="002E3DF0">
        <w:t xml:space="preserve">all suppliers </w:t>
      </w:r>
      <w:r w:rsidR="000E4FFA">
        <w:t xml:space="preserve">are </w:t>
      </w:r>
      <w:r w:rsidR="0081167C">
        <w:t>using technologies which exhibit CRTS</w:t>
      </w:r>
      <w:r w:rsidR="0081167C">
        <w:rPr>
          <w:rStyle w:val="FootnoteReference"/>
        </w:rPr>
        <w:footnoteReference w:id="6"/>
      </w:r>
      <w:r w:rsidR="0081167C">
        <w:t xml:space="preserve"> and hence having a </w:t>
      </w:r>
      <w:r w:rsidR="000E4FFA">
        <w:t xml:space="preserve">LRMC curve which is either horizontal or upward sloping, </w:t>
      </w:r>
      <w:r w:rsidR="0081167C">
        <w:t xml:space="preserve">and if all suppliers are price takers (as in a perfectly competitive </w:t>
      </w:r>
      <w:r w:rsidR="0081167C">
        <w:lastRenderedPageBreak/>
        <w:t>market</w:t>
      </w:r>
      <w:r w:rsidR="00196A41">
        <w:t xml:space="preserve"> situation</w:t>
      </w:r>
      <w:r w:rsidR="0081167C">
        <w:t xml:space="preserve">), </w:t>
      </w:r>
      <w:r w:rsidR="000E4FFA">
        <w:t xml:space="preserve">then the </w:t>
      </w:r>
      <w:r w:rsidR="0081167C">
        <w:rPr>
          <w:i/>
        </w:rPr>
        <w:t xml:space="preserve">aggregate </w:t>
      </w:r>
      <w:r w:rsidR="000E4FFA">
        <w:t xml:space="preserve">supply curve for the market </w:t>
      </w:r>
      <w:r w:rsidR="0081167C">
        <w:t xml:space="preserve">as a whole </w:t>
      </w:r>
      <w:r w:rsidR="000E4FFA">
        <w:t xml:space="preserve">can </w:t>
      </w:r>
      <w:r w:rsidR="0081167C">
        <w:t xml:space="preserve">be </w:t>
      </w:r>
      <w:r w:rsidR="00196A41">
        <w:t xml:space="preserve">assumed to be </w:t>
      </w:r>
      <w:r w:rsidR="000E4FFA">
        <w:t xml:space="preserve">the </w:t>
      </w:r>
      <w:r w:rsidR="00196A41">
        <w:t xml:space="preserve">horizontal summation </w:t>
      </w:r>
      <w:r w:rsidR="000E4FFA">
        <w:t xml:space="preserve">of all the LRMC curves. </w:t>
      </w:r>
      <w:r w:rsidR="0081167C">
        <w:t>H</w:t>
      </w:r>
      <w:r w:rsidR="002E3DF0">
        <w:t xml:space="preserve">owever, </w:t>
      </w:r>
      <w:r w:rsidR="0081167C">
        <w:t xml:space="preserve">if some suppliers are using technologies which may exhibit some degree of ‘scale economies’, for example, those which involve large up-front (i.e. fixed) capital costs but with low marginal running costs, then the existence of scale economies in their production level can imply some degree of ‘natural monopolistic’ power (see </w:t>
      </w:r>
      <w:proofErr w:type="spellStart"/>
      <w:r w:rsidR="0081167C">
        <w:t>Baumol</w:t>
      </w:r>
      <w:proofErr w:type="spellEnd"/>
      <w:r w:rsidR="0081167C">
        <w:t>, 1977)</w:t>
      </w:r>
      <w:r w:rsidR="00196A41">
        <w:t xml:space="preserve">. This power can allow </w:t>
      </w:r>
      <w:r w:rsidR="0081167C">
        <w:t xml:space="preserve">the suppliers </w:t>
      </w:r>
      <w:r w:rsidR="00196A41">
        <w:t xml:space="preserve">to </w:t>
      </w:r>
      <w:r w:rsidR="0081167C">
        <w:t xml:space="preserve">influence the level of supply price </w:t>
      </w:r>
      <w:r w:rsidR="00196A41">
        <w:t xml:space="preserve">and not </w:t>
      </w:r>
      <w:r w:rsidR="0081167C">
        <w:t>acting simply as price takers</w:t>
      </w:r>
      <w:r w:rsidR="00196A41">
        <w:t xml:space="preserve"> as assumed in traditional perfectly competitive model</w:t>
      </w:r>
      <w:r w:rsidR="0081167C">
        <w:t xml:space="preserve">. In this case, the ‘supply curve’ for these market players will not be well-defined. Instead, </w:t>
      </w:r>
      <w:r w:rsidR="00BE4A24">
        <w:t>the s</w:t>
      </w:r>
      <w:r w:rsidR="0081167C">
        <w:t xml:space="preserve">trategic </w:t>
      </w:r>
      <w:proofErr w:type="gramStart"/>
      <w:r w:rsidR="0081167C">
        <w:t xml:space="preserve">interactions between these players </w:t>
      </w:r>
      <w:r w:rsidR="00BE4A24">
        <w:t>is</w:t>
      </w:r>
      <w:proofErr w:type="gramEnd"/>
      <w:r w:rsidR="00BE4A24">
        <w:t xml:space="preserve"> the main reason behind the market </w:t>
      </w:r>
      <w:r w:rsidR="0081167C">
        <w:t>outcome</w:t>
      </w:r>
      <w:r w:rsidR="00F914DE">
        <w:t xml:space="preserve">. In this paper, following the </w:t>
      </w:r>
      <w:r w:rsidR="00EB327A">
        <w:t xml:space="preserve">approach </w:t>
      </w:r>
      <w:r w:rsidR="00F914DE">
        <w:t xml:space="preserve">often adopted in most studies on the electricity </w:t>
      </w:r>
      <w:r w:rsidR="00EB327A">
        <w:t xml:space="preserve">supply </w:t>
      </w:r>
      <w:r w:rsidR="00F914DE">
        <w:t>market</w:t>
      </w:r>
      <w:r w:rsidR="00EB327A">
        <w:t>,</w:t>
      </w:r>
      <w:r w:rsidR="00F914DE">
        <w:t xml:space="preserve"> we make a distinction between the supply </w:t>
      </w:r>
      <w:proofErr w:type="spellStart"/>
      <w:r w:rsidR="00EB327A">
        <w:t>behaviour</w:t>
      </w:r>
      <w:proofErr w:type="spellEnd"/>
      <w:r w:rsidR="00EB327A">
        <w:t xml:space="preserve"> </w:t>
      </w:r>
      <w:r w:rsidR="00F914DE">
        <w:t>of those who use CRTS technologies (assumed</w:t>
      </w:r>
      <w:r w:rsidR="00F914DE">
        <w:rPr>
          <w:rStyle w:val="FootnoteReference"/>
        </w:rPr>
        <w:footnoteReference w:id="7"/>
      </w:r>
      <w:r w:rsidR="00F914DE">
        <w:t xml:space="preserve"> to include oil, gas, and renewable energy based technologies) </w:t>
      </w:r>
      <w:r w:rsidR="00EB327A">
        <w:t>and those who use technologies which can exhibit some degree o scale economies (</w:t>
      </w:r>
      <w:r w:rsidR="00F914DE">
        <w:t>assume</w:t>
      </w:r>
      <w:r w:rsidR="00EB327A">
        <w:t>d to include coal, hydro, as well as nuclear energy based electricity generation technologies). It is assumed that the former group of suppliers will behave as perfect competitor or price-takers, while the latter group may</w:t>
      </w:r>
      <w:r w:rsidR="00EB327A">
        <w:rPr>
          <w:rStyle w:val="FootnoteReference"/>
        </w:rPr>
        <w:footnoteReference w:id="8"/>
      </w:r>
      <w:r w:rsidR="00EB327A">
        <w:t xml:space="preserve"> behave as though </w:t>
      </w:r>
      <w:proofErr w:type="spellStart"/>
      <w:r w:rsidR="00EB327A">
        <w:t>Cournot</w:t>
      </w:r>
      <w:proofErr w:type="spellEnd"/>
      <w:r w:rsidR="00EB327A">
        <w:t xml:space="preserve"> </w:t>
      </w:r>
      <w:proofErr w:type="spellStart"/>
      <w:r w:rsidR="00EB327A">
        <w:t>oligopolists</w:t>
      </w:r>
      <w:proofErr w:type="spellEnd"/>
      <w:r w:rsidR="00EB327A">
        <w:rPr>
          <w:rStyle w:val="FootnoteReference"/>
        </w:rPr>
        <w:footnoteReference w:id="9"/>
      </w:r>
      <w:r w:rsidR="00F914DE">
        <w:t xml:space="preserve"> </w:t>
      </w:r>
    </w:p>
    <w:p w:rsidR="00DB1975" w:rsidRDefault="00DB1975" w:rsidP="00DB1975">
      <w:pPr>
        <w:spacing w:before="120" w:after="120" w:line="360" w:lineRule="auto"/>
      </w:pPr>
      <w:r>
        <w:t xml:space="preserve">Let </w:t>
      </w:r>
      <w:proofErr w:type="spellStart"/>
      <w:r>
        <w:rPr>
          <w:i/>
          <w:iCs/>
        </w:rPr>
        <w:t>q</w:t>
      </w:r>
      <w:r w:rsidRPr="00FF0745">
        <w:rPr>
          <w:i/>
          <w:iCs/>
          <w:vertAlign w:val="subscript"/>
        </w:rPr>
        <w:t>i</w:t>
      </w:r>
      <w:proofErr w:type="spellEnd"/>
      <w:r w:rsidRPr="00FF0745">
        <w:t xml:space="preserve"> </w:t>
      </w:r>
      <w:r>
        <w:t xml:space="preserve">be </w:t>
      </w:r>
      <w:r w:rsidRPr="00FF0745">
        <w:t xml:space="preserve">the </w:t>
      </w:r>
      <w:r>
        <w:t xml:space="preserve">output of an individual </w:t>
      </w:r>
      <w:proofErr w:type="spellStart"/>
      <w:r w:rsidRPr="00FA72D4">
        <w:rPr>
          <w:i/>
        </w:rPr>
        <w:t>i</w:t>
      </w:r>
      <w:proofErr w:type="spellEnd"/>
      <w:r>
        <w:t>-producer</w:t>
      </w:r>
      <w:r w:rsidRPr="00FF0745">
        <w:t xml:space="preserve"> </w:t>
      </w:r>
      <w:r>
        <w:t xml:space="preserve">in the </w:t>
      </w:r>
      <w:r w:rsidR="00610F72">
        <w:rPr>
          <w:i/>
        </w:rPr>
        <w:t>L</w:t>
      </w:r>
      <w:r w:rsidRPr="00FA72D4">
        <w:t>-group</w:t>
      </w:r>
      <w:r w:rsidR="000A1D91">
        <w:t xml:space="preserve"> (‘</w:t>
      </w:r>
      <w:r w:rsidR="00610F72">
        <w:rPr>
          <w:i/>
        </w:rPr>
        <w:t>L</w:t>
      </w:r>
      <w:r w:rsidR="000A1D91">
        <w:t>’ stand</w:t>
      </w:r>
      <w:r w:rsidR="00610F72">
        <w:t>s</w:t>
      </w:r>
      <w:r w:rsidR="000A1D91">
        <w:t xml:space="preserve"> for </w:t>
      </w:r>
      <w:r w:rsidR="00610F72">
        <w:t xml:space="preserve">market leaders) and </w:t>
      </w:r>
      <w:proofErr w:type="spellStart"/>
      <w:r>
        <w:rPr>
          <w:i/>
          <w:iCs/>
        </w:rPr>
        <w:t>q</w:t>
      </w:r>
      <w:r w:rsidR="00610F72">
        <w:rPr>
          <w:i/>
          <w:iCs/>
          <w:vertAlign w:val="subscript"/>
        </w:rPr>
        <w:t>j</w:t>
      </w:r>
      <w:proofErr w:type="spellEnd"/>
      <w:r w:rsidRPr="00FF0745">
        <w:t xml:space="preserve"> </w:t>
      </w:r>
      <w:r>
        <w:t xml:space="preserve">be </w:t>
      </w:r>
      <w:r w:rsidRPr="00FF0745">
        <w:t xml:space="preserve">the </w:t>
      </w:r>
      <w:r>
        <w:t xml:space="preserve">output of an individual </w:t>
      </w:r>
      <w:r w:rsidR="00610F72">
        <w:rPr>
          <w:i/>
        </w:rPr>
        <w:t>j</w:t>
      </w:r>
      <w:r>
        <w:t>-producer</w:t>
      </w:r>
      <w:r w:rsidRPr="00FF0745">
        <w:t xml:space="preserve"> </w:t>
      </w:r>
      <w:r>
        <w:t xml:space="preserve">in the </w:t>
      </w:r>
      <w:r w:rsidR="00610F72">
        <w:rPr>
          <w:i/>
        </w:rPr>
        <w:t>F</w:t>
      </w:r>
      <w:r w:rsidRPr="00FA72D4">
        <w:t>-group</w:t>
      </w:r>
      <w:r w:rsidR="00610F72">
        <w:t xml:space="preserve"> (‘</w:t>
      </w:r>
      <w:r w:rsidR="00610F72">
        <w:rPr>
          <w:i/>
        </w:rPr>
        <w:t>F</w:t>
      </w:r>
      <w:r w:rsidR="00610F72">
        <w:t xml:space="preserve">’ stands for market followers or fringe competitors). If </w:t>
      </w:r>
      <w:r>
        <w:rPr>
          <w:i/>
          <w:iCs/>
        </w:rPr>
        <w:t xml:space="preserve">Q </w:t>
      </w:r>
      <w:r w:rsidR="00610F72">
        <w:rPr>
          <w:iCs/>
        </w:rPr>
        <w:t>is the total supply level for the market, then pr</w:t>
      </w:r>
      <w:r>
        <w:t xml:space="preserve">oduction constraint </w:t>
      </w:r>
      <w:r w:rsidR="00610F72">
        <w:t xml:space="preserve">for the market </w:t>
      </w:r>
      <w:r>
        <w:t>implies:</w:t>
      </w:r>
    </w:p>
    <w:p w:rsidR="00931F96" w:rsidRPr="00426D1D" w:rsidRDefault="00610F72" w:rsidP="00931F96">
      <w:pPr>
        <w:spacing w:line="240" w:lineRule="auto"/>
        <w:ind w:firstLine="720"/>
      </w:pPr>
      <w:r w:rsidRPr="00610F72">
        <w:rPr>
          <w:position w:val="-32"/>
          <w:lang w:val="de-DE"/>
        </w:rPr>
        <w:object w:dxaOrig="236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26.25pt" o:ole="">
            <v:imagedata r:id="rId10" o:title=""/>
          </v:shape>
          <o:OLEObject Type="Embed" ProgID="Equation.3" ShapeID="_x0000_i1026" DrawAspect="Content" ObjectID="_1471069873" r:id="rId11"/>
        </w:object>
      </w:r>
      <w:r w:rsidR="00931F96" w:rsidRPr="00426D1D">
        <w:tab/>
      </w:r>
      <w:r w:rsidR="00931F96" w:rsidRPr="00426D1D">
        <w:tab/>
      </w:r>
      <w:r w:rsidR="00931F96" w:rsidRPr="00426D1D">
        <w:tab/>
      </w:r>
      <w:r w:rsidR="00931F96" w:rsidRPr="00426D1D">
        <w:tab/>
      </w:r>
      <w:r w:rsidR="00931F96" w:rsidRPr="00426D1D">
        <w:tab/>
      </w:r>
      <w:r w:rsidR="00931F96" w:rsidRPr="00426D1D">
        <w:tab/>
      </w:r>
      <w:r w:rsidR="00931F96" w:rsidRPr="00426D1D">
        <w:tab/>
      </w:r>
      <w:r w:rsidR="00931F96" w:rsidRPr="00426D1D">
        <w:tab/>
        <w:t>(1)</w:t>
      </w:r>
    </w:p>
    <w:p w:rsidR="00610F72" w:rsidRDefault="00610F72" w:rsidP="00931F96">
      <w:pPr>
        <w:spacing w:before="120" w:after="120" w:line="360" w:lineRule="auto"/>
      </w:pPr>
      <w:r>
        <w:lastRenderedPageBreak/>
        <w:t xml:space="preserve">Assuming that fringe competitors are all CRTS producers with a price elasticity of supply equal </w:t>
      </w:r>
      <w:proofErr w:type="gramStart"/>
      <w:r>
        <w:t xml:space="preserve">to </w:t>
      </w:r>
      <w:proofErr w:type="gramEnd"/>
      <w:r w:rsidRPr="00610F72">
        <w:rPr>
          <w:position w:val="-14"/>
        </w:rPr>
        <w:object w:dxaOrig="279" w:dyaOrig="380">
          <v:shape id="_x0000_i1027" type="#_x0000_t75" style="width:14.25pt;height:18.75pt" o:ole="">
            <v:imagedata r:id="rId12" o:title=""/>
          </v:shape>
          <o:OLEObject Type="Embed" ProgID="Equation.3" ShapeID="_x0000_i1027" DrawAspect="Content" ObjectID="_1471069874" r:id="rId13"/>
        </w:object>
      </w:r>
      <w:r>
        <w:t xml:space="preserve">. The aggregate supply curve for the </w:t>
      </w:r>
      <w:r>
        <w:rPr>
          <w:i/>
        </w:rPr>
        <w:t>F-</w:t>
      </w:r>
      <w:r w:rsidRPr="00610F72">
        <w:t>grou</w:t>
      </w:r>
      <w:r>
        <w:t xml:space="preserve">p </w:t>
      </w:r>
      <w:r w:rsidR="00C53AB6">
        <w:t xml:space="preserve">as a whole </w:t>
      </w:r>
      <w:r>
        <w:t>can the</w:t>
      </w:r>
      <w:r w:rsidR="00C53AB6">
        <w:t xml:space="preserve">n </w:t>
      </w:r>
      <w:r>
        <w:t xml:space="preserve">be said to have an (aggregate) price elasticity of supply </w:t>
      </w:r>
      <w:r w:rsidR="00C53AB6">
        <w:t>equal to</w:t>
      </w:r>
      <w:r>
        <w:t>:</w:t>
      </w:r>
    </w:p>
    <w:p w:rsidR="00610F72" w:rsidRPr="00426D1D" w:rsidRDefault="00C53AB6" w:rsidP="00610F72">
      <w:pPr>
        <w:spacing w:line="240" w:lineRule="auto"/>
        <w:ind w:firstLine="720"/>
      </w:pPr>
      <w:r w:rsidRPr="00610F72">
        <w:rPr>
          <w:position w:val="-98"/>
          <w:lang w:val="de-DE"/>
        </w:rPr>
        <w:object w:dxaOrig="2360" w:dyaOrig="2060">
          <v:shape id="_x0000_i1028" type="#_x0000_t75" style="width:116.25pt;height:99.75pt" o:ole="">
            <v:imagedata r:id="rId14" o:title=""/>
          </v:shape>
          <o:OLEObject Type="Embed" ProgID="Equation.3" ShapeID="_x0000_i1028" DrawAspect="Content" ObjectID="_1471069875" r:id="rId15"/>
        </w:object>
      </w:r>
      <w:r w:rsidR="00610F72" w:rsidRPr="00426D1D">
        <w:tab/>
      </w:r>
      <w:r w:rsidR="00610F72" w:rsidRPr="00426D1D">
        <w:tab/>
      </w:r>
      <w:r w:rsidR="00610F72">
        <w:tab/>
      </w:r>
      <w:r w:rsidR="00610F72" w:rsidRPr="00426D1D">
        <w:tab/>
      </w:r>
      <w:r w:rsidR="00610F72" w:rsidRPr="00426D1D">
        <w:tab/>
      </w:r>
      <w:r w:rsidR="00610F72" w:rsidRPr="00426D1D">
        <w:tab/>
      </w:r>
      <w:r w:rsidR="00610F72" w:rsidRPr="00426D1D">
        <w:tab/>
      </w:r>
      <w:r w:rsidR="00610F72" w:rsidRPr="00426D1D">
        <w:tab/>
        <w:t>(</w:t>
      </w:r>
      <w:r w:rsidR="00610F72">
        <w:t>2</w:t>
      </w:r>
      <w:r w:rsidR="00610F72" w:rsidRPr="00426D1D">
        <w:t>)</w:t>
      </w:r>
    </w:p>
    <w:p w:rsidR="00C53AB6" w:rsidRDefault="00C53AB6" w:rsidP="00931F96">
      <w:pPr>
        <w:spacing w:before="120" w:after="120" w:line="360" w:lineRule="auto"/>
      </w:pPr>
      <w:proofErr w:type="gramStart"/>
      <w:r>
        <w:t>where</w:t>
      </w:r>
      <w:proofErr w:type="gramEnd"/>
      <w:r w:rsidR="00610F72">
        <w:rPr>
          <w:i/>
        </w:rPr>
        <w:t xml:space="preserve"> </w:t>
      </w:r>
      <w:proofErr w:type="spellStart"/>
      <w:r w:rsidR="00931F96">
        <w:rPr>
          <w:i/>
          <w:iCs/>
        </w:rPr>
        <w:t>s</w:t>
      </w:r>
      <w:r>
        <w:rPr>
          <w:i/>
          <w:iCs/>
          <w:vertAlign w:val="subscript"/>
        </w:rPr>
        <w:t>j</w:t>
      </w:r>
      <w:proofErr w:type="spellEnd"/>
      <w:r w:rsidR="00931F96" w:rsidRPr="00FF0745">
        <w:t xml:space="preserve"> </w:t>
      </w:r>
      <w:r w:rsidR="00931F96">
        <w:t>= (</w:t>
      </w:r>
      <w:proofErr w:type="spellStart"/>
      <w:r w:rsidR="00931F96">
        <w:rPr>
          <w:i/>
          <w:iCs/>
        </w:rPr>
        <w:t>q</w:t>
      </w:r>
      <w:r>
        <w:rPr>
          <w:i/>
          <w:iCs/>
          <w:vertAlign w:val="subscript"/>
        </w:rPr>
        <w:t>j</w:t>
      </w:r>
      <w:proofErr w:type="spellEnd"/>
      <w:r w:rsidR="00931F96">
        <w:t>/</w:t>
      </w:r>
      <w:r w:rsidR="00931F96">
        <w:rPr>
          <w:i/>
          <w:iCs/>
        </w:rPr>
        <w:t>Q</w:t>
      </w:r>
      <w:r>
        <w:rPr>
          <w:i/>
          <w:iCs/>
          <w:vertAlign w:val="subscript"/>
        </w:rPr>
        <w:t>F</w:t>
      </w:r>
      <w:r w:rsidR="00931F96">
        <w:t xml:space="preserve">) </w:t>
      </w:r>
      <w:r>
        <w:t xml:space="preserve">is the </w:t>
      </w:r>
      <w:r w:rsidR="00931F96" w:rsidRPr="00FF0745">
        <w:t xml:space="preserve">relative market share of </w:t>
      </w:r>
      <w:r w:rsidR="00931F96">
        <w:t xml:space="preserve">the </w:t>
      </w:r>
      <w:r>
        <w:rPr>
          <w:i/>
        </w:rPr>
        <w:t>j</w:t>
      </w:r>
      <w:r w:rsidR="00931F96">
        <w:t>-producer</w:t>
      </w:r>
      <w:r w:rsidR="00931F96" w:rsidRPr="00FF0745">
        <w:t xml:space="preserve"> </w:t>
      </w:r>
      <w:r w:rsidR="00931F96">
        <w:t xml:space="preserve">within the </w:t>
      </w:r>
      <w:r w:rsidRPr="00C53AB6">
        <w:rPr>
          <w:i/>
        </w:rPr>
        <w:t>F</w:t>
      </w:r>
      <w:r>
        <w:t>-g</w:t>
      </w:r>
      <w:r w:rsidR="00931F96" w:rsidRPr="00FA72D4">
        <w:t>roup</w:t>
      </w:r>
      <w:r>
        <w:t xml:space="preserve">. </w:t>
      </w:r>
    </w:p>
    <w:p w:rsidR="00C53AB6" w:rsidRDefault="00C53AB6" w:rsidP="00931F96">
      <w:pPr>
        <w:spacing w:before="120" w:after="120" w:line="360" w:lineRule="auto"/>
      </w:pPr>
      <w:r>
        <w:t xml:space="preserve">Given the aggregate supply curve for the </w:t>
      </w:r>
      <w:r>
        <w:rPr>
          <w:i/>
        </w:rPr>
        <w:t>F</w:t>
      </w:r>
      <w:r>
        <w:t xml:space="preserve">-group, and given the total market demand curve for electricity as a whole being given as </w:t>
      </w:r>
      <w:r w:rsidRPr="00C53AB6">
        <w:rPr>
          <w:i/>
        </w:rPr>
        <w:t>P</w:t>
      </w:r>
      <w:r>
        <w:t>=</w:t>
      </w:r>
      <w:r w:rsidRPr="00C53AB6">
        <w:rPr>
          <w:i/>
        </w:rPr>
        <w:t>P</w:t>
      </w:r>
      <w:r>
        <w:t>(</w:t>
      </w:r>
      <w:r w:rsidRPr="00C53AB6">
        <w:rPr>
          <w:i/>
        </w:rPr>
        <w:t>Q</w:t>
      </w:r>
      <w:r>
        <w:t xml:space="preserve">), a ‘residual’ market demand curve for the </w:t>
      </w:r>
      <w:r>
        <w:rPr>
          <w:i/>
        </w:rPr>
        <w:t>L-</w:t>
      </w:r>
      <w:r>
        <w:t>group can then be derived as follows:</w:t>
      </w:r>
    </w:p>
    <w:p w:rsidR="00C53AB6" w:rsidRPr="00426D1D" w:rsidRDefault="0084525B" w:rsidP="00C53AB6">
      <w:pPr>
        <w:spacing w:line="240" w:lineRule="auto"/>
        <w:ind w:firstLine="720"/>
      </w:pPr>
      <w:r w:rsidRPr="00C53AB6">
        <w:rPr>
          <w:position w:val="-44"/>
          <w:lang w:val="de-DE"/>
        </w:rPr>
        <w:object w:dxaOrig="5300" w:dyaOrig="980">
          <v:shape id="_x0000_i1029" type="#_x0000_t75" style="width:259.5pt;height:47.25pt" o:ole="">
            <v:imagedata r:id="rId16" o:title=""/>
          </v:shape>
          <o:OLEObject Type="Embed" ProgID="Equation.3" ShapeID="_x0000_i1029" DrawAspect="Content" ObjectID="_1471069876" r:id="rId17"/>
        </w:object>
      </w:r>
      <w:r w:rsidR="00C53AB6" w:rsidRPr="00426D1D">
        <w:tab/>
      </w:r>
      <w:r w:rsidR="00C53AB6" w:rsidRPr="00426D1D">
        <w:tab/>
      </w:r>
      <w:r w:rsidR="00B7644F">
        <w:tab/>
      </w:r>
      <w:r w:rsidR="00C53AB6" w:rsidRPr="00426D1D">
        <w:tab/>
        <w:t>(</w:t>
      </w:r>
      <w:r w:rsidR="00C53AB6">
        <w:t>3</w:t>
      </w:r>
      <w:r w:rsidR="00C53AB6" w:rsidRPr="00426D1D">
        <w:t>)</w:t>
      </w:r>
    </w:p>
    <w:p w:rsidR="0084525B" w:rsidRDefault="00C53AB6" w:rsidP="00C53AB6">
      <w:pPr>
        <w:spacing w:before="120" w:after="120" w:line="360" w:lineRule="auto"/>
      </w:pPr>
      <w:r>
        <w:t xml:space="preserve">Here, </w:t>
      </w:r>
      <w:r w:rsidR="0084525B" w:rsidRPr="00D94394">
        <w:rPr>
          <w:position w:val="-4"/>
        </w:rPr>
        <w:object w:dxaOrig="340" w:dyaOrig="279">
          <v:shape id="_x0000_i1030" type="#_x0000_t75" style="width:17.25pt;height:13.5pt" o:ole="">
            <v:imagedata r:id="rId18" o:title=""/>
          </v:shape>
          <o:OLEObject Type="Embed" ProgID="Equation.3" ShapeID="_x0000_i1030" DrawAspect="Content" ObjectID="_1471069877" r:id="rId19"/>
        </w:object>
      </w:r>
      <w:r w:rsidRPr="00416735">
        <w:t xml:space="preserve">is the aggregate price-elasticity of demand </w:t>
      </w:r>
      <w:r>
        <w:t xml:space="preserve">for electricity as a whole, as determined by the aggregate market demand curve, </w:t>
      </w:r>
      <w:r w:rsidRPr="00FF0745">
        <w:rPr>
          <w:i/>
          <w:iCs/>
        </w:rPr>
        <w:t>S</w:t>
      </w:r>
      <w:r>
        <w:rPr>
          <w:i/>
          <w:iCs/>
          <w:vertAlign w:val="subscript"/>
        </w:rPr>
        <w:t>L</w:t>
      </w:r>
      <w:r w:rsidRPr="00FF0745">
        <w:t xml:space="preserve"> </w:t>
      </w:r>
      <w:r>
        <w:t>= (</w:t>
      </w:r>
      <w:r>
        <w:rPr>
          <w:i/>
          <w:iCs/>
        </w:rPr>
        <w:t>Q</w:t>
      </w:r>
      <w:r>
        <w:rPr>
          <w:i/>
          <w:iCs/>
          <w:vertAlign w:val="subscript"/>
        </w:rPr>
        <w:t>L</w:t>
      </w:r>
      <w:r>
        <w:t>/</w:t>
      </w:r>
      <w:r>
        <w:rPr>
          <w:i/>
          <w:iCs/>
        </w:rPr>
        <w:t>Q</w:t>
      </w:r>
      <w:r>
        <w:t>),</w:t>
      </w:r>
      <w:r w:rsidRPr="00A30E3A">
        <w:rPr>
          <w:i/>
          <w:iCs/>
        </w:rPr>
        <w:t xml:space="preserve"> </w:t>
      </w:r>
      <w:r w:rsidRPr="00FF0745">
        <w:rPr>
          <w:i/>
          <w:iCs/>
        </w:rPr>
        <w:t>S</w:t>
      </w:r>
      <w:r>
        <w:rPr>
          <w:i/>
          <w:iCs/>
          <w:vertAlign w:val="subscript"/>
        </w:rPr>
        <w:t>F</w:t>
      </w:r>
      <w:r w:rsidRPr="00FF0745">
        <w:t xml:space="preserve"> </w:t>
      </w:r>
      <w:r>
        <w:t>= (</w:t>
      </w:r>
      <w:r>
        <w:rPr>
          <w:i/>
          <w:iCs/>
        </w:rPr>
        <w:t>Q</w:t>
      </w:r>
      <w:r>
        <w:rPr>
          <w:i/>
          <w:iCs/>
          <w:vertAlign w:val="subscript"/>
        </w:rPr>
        <w:t>F</w:t>
      </w:r>
      <w:r>
        <w:t>/</w:t>
      </w:r>
      <w:r>
        <w:rPr>
          <w:i/>
          <w:iCs/>
        </w:rPr>
        <w:t>Q</w:t>
      </w:r>
      <w:r>
        <w:t xml:space="preserve">) are the relative market shares of the </w:t>
      </w:r>
      <w:r w:rsidR="0084525B">
        <w:rPr>
          <w:i/>
        </w:rPr>
        <w:t>L</w:t>
      </w:r>
      <w:r>
        <w:t xml:space="preserve">-group and </w:t>
      </w:r>
      <w:r w:rsidR="0084525B">
        <w:rPr>
          <w:i/>
        </w:rPr>
        <w:t>F</w:t>
      </w:r>
      <w:r>
        <w:t>-group respectively,</w:t>
      </w:r>
      <w:r w:rsidRPr="00596DA8">
        <w:t xml:space="preserve"> </w:t>
      </w:r>
      <w:r>
        <w:t xml:space="preserve">and </w:t>
      </w:r>
      <w:r w:rsidR="0084525B" w:rsidRPr="00D94394">
        <w:rPr>
          <w:position w:val="-10"/>
        </w:rPr>
        <w:object w:dxaOrig="340" w:dyaOrig="340">
          <v:shape id="_x0000_i1031" type="#_x0000_t75" style="width:17.25pt;height:17.25pt" o:ole="">
            <v:imagedata r:id="rId20" o:title=""/>
          </v:shape>
          <o:OLEObject Type="Embed" ProgID="Equation.3" ShapeID="_x0000_i1031" DrawAspect="Content" ObjectID="_1471069878" r:id="rId21"/>
        </w:object>
      </w:r>
      <w:r w:rsidR="0084525B">
        <w:t xml:space="preserve">is the </w:t>
      </w:r>
      <w:r w:rsidR="0084525B" w:rsidRPr="00416735">
        <w:t xml:space="preserve">price-elasticity of demand </w:t>
      </w:r>
      <w:r w:rsidR="0084525B">
        <w:t xml:space="preserve">for electricity supplied by the </w:t>
      </w:r>
      <w:r w:rsidR="0084525B">
        <w:rPr>
          <w:i/>
        </w:rPr>
        <w:t>L</w:t>
      </w:r>
      <w:r w:rsidR="0084525B">
        <w:t xml:space="preserve">-group. </w:t>
      </w:r>
      <w:r w:rsidR="0084525B" w:rsidRPr="00D94394">
        <w:rPr>
          <w:position w:val="-10"/>
        </w:rPr>
        <w:object w:dxaOrig="340" w:dyaOrig="340">
          <v:shape id="_x0000_i1032" type="#_x0000_t75" style="width:17.25pt;height:17.25pt" o:ole="">
            <v:imagedata r:id="rId20" o:title=""/>
          </v:shape>
          <o:OLEObject Type="Embed" ProgID="Equation.3" ShapeID="_x0000_i1032" DrawAspect="Content" ObjectID="_1471069879" r:id="rId22"/>
        </w:object>
      </w:r>
      <w:r w:rsidR="0084525B">
        <w:t xml:space="preserve"> therefore determines the ‘shape’ of the residual demand curve for electricity supplied by the </w:t>
      </w:r>
      <w:r w:rsidR="0084525B">
        <w:rPr>
          <w:i/>
        </w:rPr>
        <w:t>L</w:t>
      </w:r>
      <w:r w:rsidR="0084525B">
        <w:t xml:space="preserve">-group, and producers from the </w:t>
      </w:r>
      <w:r w:rsidR="0084525B">
        <w:rPr>
          <w:i/>
        </w:rPr>
        <w:t>L</w:t>
      </w:r>
      <w:r w:rsidR="0084525B">
        <w:t xml:space="preserve">-group will take this ‘residual’ demand curve as their own in their strategic interactions with each other to maximize their individual profits. To describe this strategic interactions in more details, assume that each producer from the </w:t>
      </w:r>
      <w:r w:rsidR="0084525B">
        <w:rPr>
          <w:i/>
        </w:rPr>
        <w:t>L</w:t>
      </w:r>
      <w:r w:rsidR="0084525B">
        <w:t xml:space="preserve">-group acts as a </w:t>
      </w:r>
      <w:proofErr w:type="spellStart"/>
      <w:r w:rsidR="0084525B">
        <w:t>Cournot</w:t>
      </w:r>
      <w:proofErr w:type="spellEnd"/>
      <w:r w:rsidR="0084525B">
        <w:t xml:space="preserve"> oligopolistic competitor, i.e. each will try to maximize their own </w:t>
      </w:r>
      <w:r w:rsidR="00B7644F">
        <w:t xml:space="preserve">individual </w:t>
      </w:r>
      <w:r w:rsidR="0084525B">
        <w:t xml:space="preserve">profit taking the ‘residual’ market demand curve as given and </w:t>
      </w:r>
      <w:r w:rsidR="00B7644F">
        <w:t xml:space="preserve">also assuming the production </w:t>
      </w:r>
      <w:r w:rsidR="0084525B">
        <w:t xml:space="preserve">levels of all other </w:t>
      </w:r>
      <w:proofErr w:type="spellStart"/>
      <w:r w:rsidR="00B7644F">
        <w:t>Cournot</w:t>
      </w:r>
      <w:proofErr w:type="spellEnd"/>
      <w:r w:rsidR="00B7644F">
        <w:t xml:space="preserve"> </w:t>
      </w:r>
      <w:r w:rsidR="0084525B">
        <w:t>competitors as given, i.e.:</w:t>
      </w:r>
    </w:p>
    <w:p w:rsidR="00B7644F" w:rsidRPr="00ED1835" w:rsidRDefault="000A7BFB" w:rsidP="00B7644F">
      <w:pPr>
        <w:spacing w:line="240" w:lineRule="auto"/>
        <w:ind w:firstLine="720"/>
      </w:pPr>
      <w:r w:rsidRPr="00ED1835">
        <w:rPr>
          <w:position w:val="-14"/>
          <w:lang w:val="de-DE"/>
        </w:rPr>
        <w:object w:dxaOrig="3340" w:dyaOrig="360">
          <v:shape id="_x0000_i1033" type="#_x0000_t75" style="width:186.75pt;height:19.5pt" o:ole="">
            <v:imagedata r:id="rId23" o:title=""/>
          </v:shape>
          <o:OLEObject Type="Embed" ProgID="Equation.3" ShapeID="_x0000_i1033" DrawAspect="Content" ObjectID="_1471069880" r:id="rId24"/>
        </w:object>
      </w:r>
      <w:r w:rsidR="00B7644F" w:rsidRPr="00ED1835">
        <w:tab/>
      </w:r>
      <w:r w:rsidR="00B7644F" w:rsidRPr="00ED1835">
        <w:tab/>
      </w:r>
      <w:r w:rsidR="00B7644F" w:rsidRPr="00ED1835">
        <w:tab/>
      </w:r>
      <w:r w:rsidR="00B7644F" w:rsidRPr="00ED1835">
        <w:tab/>
      </w:r>
      <w:r w:rsidR="00B7644F" w:rsidRPr="00ED1835">
        <w:tab/>
      </w:r>
      <w:r w:rsidR="00B7644F" w:rsidRPr="00ED1835">
        <w:tab/>
        <w:t>(</w:t>
      </w:r>
      <w:r w:rsidR="00B7644F">
        <w:t>4</w:t>
      </w:r>
      <w:r w:rsidR="00B7644F" w:rsidRPr="00ED1835">
        <w:t>)</w:t>
      </w:r>
    </w:p>
    <w:p w:rsidR="00B7644F" w:rsidRDefault="00B7644F" w:rsidP="00B7644F">
      <w:pPr>
        <w:autoSpaceDE w:val="0"/>
        <w:autoSpaceDN w:val="0"/>
        <w:adjustRightInd w:val="0"/>
        <w:spacing w:after="0" w:line="360" w:lineRule="auto"/>
      </w:pPr>
      <w:r>
        <w:t xml:space="preserve">Here, </w:t>
      </w:r>
      <w:r w:rsidRPr="00D94394">
        <w:rPr>
          <w:position w:val="-14"/>
        </w:rPr>
        <w:object w:dxaOrig="880" w:dyaOrig="380">
          <v:shape id="_x0000_i1034" type="#_x0000_t75" style="width:43.5pt;height:18.75pt" o:ole="">
            <v:imagedata r:id="rId25" o:title=""/>
          </v:shape>
          <o:OLEObject Type="Embed" ProgID="Equation.3" ShapeID="_x0000_i1034" DrawAspect="Content" ObjectID="_1471069881" r:id="rId26"/>
        </w:object>
      </w:r>
      <w:r>
        <w:t xml:space="preserve">is the profit function of the individual </w:t>
      </w:r>
      <w:proofErr w:type="spellStart"/>
      <w:r>
        <w:rPr>
          <w:i/>
        </w:rPr>
        <w:t>i</w:t>
      </w:r>
      <w:proofErr w:type="spellEnd"/>
      <w:r>
        <w:t xml:space="preserve">-producer from the </w:t>
      </w:r>
      <w:r>
        <w:rPr>
          <w:i/>
        </w:rPr>
        <w:t>L</w:t>
      </w:r>
      <w:r>
        <w:t xml:space="preserve">-group taking the level of production of all other members in the group. </w:t>
      </w:r>
      <w:proofErr w:type="gramStart"/>
      <w:r>
        <w:t>i.e</w:t>
      </w:r>
      <w:proofErr w:type="gramEnd"/>
      <w:r>
        <w:t xml:space="preserve">. </w:t>
      </w:r>
      <w:r w:rsidRPr="00B7644F">
        <w:rPr>
          <w:position w:val="-10"/>
        </w:rPr>
        <w:object w:dxaOrig="1200" w:dyaOrig="320">
          <v:shape id="_x0000_i1035" type="#_x0000_t75" style="width:60pt;height:16.5pt" o:ole="">
            <v:imagedata r:id="rId27" o:title=""/>
          </v:shape>
          <o:OLEObject Type="Embed" ProgID="Equation.3" ShapeID="_x0000_i1035" DrawAspect="Content" ObjectID="_1471069882" r:id="rId28"/>
        </w:object>
      </w:r>
      <w:r>
        <w:t xml:space="preserve">as given, </w:t>
      </w:r>
      <w:r w:rsidR="000A7BFB" w:rsidRPr="00D94394">
        <w:rPr>
          <w:position w:val="-10"/>
        </w:rPr>
        <w:object w:dxaOrig="480" w:dyaOrig="300">
          <v:shape id="_x0000_i1036" type="#_x0000_t75" style="width:24pt;height:15pt" o:ole="">
            <v:imagedata r:id="rId29" o:title=""/>
          </v:shape>
          <o:OLEObject Type="Embed" ProgID="Equation.3" ShapeID="_x0000_i1036" DrawAspect="Content" ObjectID="_1471069883" r:id="rId30"/>
        </w:object>
      </w:r>
      <w:r>
        <w:t xml:space="preserve">is the </w:t>
      </w:r>
      <w:r>
        <w:lastRenderedPageBreak/>
        <w:t xml:space="preserve">inverse of the residual demand function for the </w:t>
      </w:r>
      <w:r>
        <w:rPr>
          <w:i/>
        </w:rPr>
        <w:t>L</w:t>
      </w:r>
      <w:r>
        <w:t xml:space="preserve">-group, and </w:t>
      </w:r>
      <w:r w:rsidRPr="00D94394">
        <w:rPr>
          <w:position w:val="-10"/>
        </w:rPr>
        <w:object w:dxaOrig="460" w:dyaOrig="300">
          <v:shape id="_x0000_i1037" type="#_x0000_t75" style="width:23.25pt;height:15pt" o:ole="">
            <v:imagedata r:id="rId31" o:title=""/>
          </v:shape>
          <o:OLEObject Type="Embed" ProgID="Equation.3" ShapeID="_x0000_i1037" DrawAspect="Content" ObjectID="_1471069884" r:id="rId32"/>
        </w:object>
      </w:r>
      <w:r>
        <w:t xml:space="preserve">is the total cost function for the </w:t>
      </w:r>
      <w:proofErr w:type="spellStart"/>
      <w:r>
        <w:rPr>
          <w:i/>
        </w:rPr>
        <w:t>i</w:t>
      </w:r>
      <w:proofErr w:type="spellEnd"/>
      <w:r>
        <w:t xml:space="preserve">-producer. Assuming that </w:t>
      </w:r>
      <w:r w:rsidR="00741744">
        <w:t xml:space="preserve">both </w:t>
      </w:r>
      <w:r w:rsidR="000A7BFB" w:rsidRPr="00D94394">
        <w:rPr>
          <w:position w:val="-10"/>
        </w:rPr>
        <w:object w:dxaOrig="480" w:dyaOrig="300">
          <v:shape id="_x0000_i1038" type="#_x0000_t75" style="width:24pt;height:15pt" o:ole="">
            <v:imagedata r:id="rId33" o:title=""/>
          </v:shape>
          <o:OLEObject Type="Embed" ProgID="Equation.3" ShapeID="_x0000_i1038" DrawAspect="Content" ObjectID="_1471069885" r:id="rId34"/>
        </w:object>
      </w:r>
      <w:r>
        <w:rPr>
          <w:i/>
          <w:iCs/>
        </w:rPr>
        <w:t xml:space="preserve"> </w:t>
      </w:r>
      <w:r>
        <w:t xml:space="preserve">and </w:t>
      </w:r>
      <w:r w:rsidR="00741744" w:rsidRPr="00D94394">
        <w:rPr>
          <w:position w:val="-10"/>
        </w:rPr>
        <w:object w:dxaOrig="460" w:dyaOrig="300">
          <v:shape id="_x0000_i1039" type="#_x0000_t75" style="width:23.25pt;height:15pt" o:ole="">
            <v:imagedata r:id="rId31" o:title=""/>
          </v:shape>
          <o:OLEObject Type="Embed" ProgID="Equation.3" ShapeID="_x0000_i1039" DrawAspect="Content" ObjectID="_1471069886" r:id="rId35"/>
        </w:object>
      </w:r>
      <w:r>
        <w:rPr>
          <w:i/>
          <w:iCs/>
          <w:sz w:val="16"/>
          <w:szCs w:val="16"/>
        </w:rPr>
        <w:t xml:space="preserve"> </w:t>
      </w:r>
      <w:r>
        <w:t xml:space="preserve">are differentiable functions, then the first-order condition for an optimal solution </w:t>
      </w:r>
      <w:r w:rsidR="00741744">
        <w:t xml:space="preserve">to the problem (4) </w:t>
      </w:r>
      <w:r>
        <w:t>is:</w:t>
      </w:r>
    </w:p>
    <w:p w:rsidR="00B7644F" w:rsidRPr="00ED1835" w:rsidRDefault="000A7BFB" w:rsidP="00B7644F">
      <w:pPr>
        <w:spacing w:line="240" w:lineRule="auto"/>
        <w:ind w:firstLine="720"/>
      </w:pPr>
      <w:r w:rsidRPr="00741744">
        <w:rPr>
          <w:position w:val="-14"/>
          <w:lang w:val="de-DE"/>
        </w:rPr>
        <w:object w:dxaOrig="3440" w:dyaOrig="380">
          <v:shape id="_x0000_i1040" type="#_x0000_t75" style="width:191.25pt;height:21pt" o:ole="">
            <v:imagedata r:id="rId36" o:title=""/>
          </v:shape>
          <o:OLEObject Type="Embed" ProgID="Equation.3" ShapeID="_x0000_i1040" DrawAspect="Content" ObjectID="_1471069887" r:id="rId37"/>
        </w:object>
      </w:r>
      <w:r w:rsidR="00B7644F" w:rsidRPr="00ED1835">
        <w:tab/>
      </w:r>
      <w:r w:rsidR="00B7644F" w:rsidRPr="00ED1835">
        <w:tab/>
      </w:r>
      <w:r w:rsidR="00B7644F">
        <w:tab/>
      </w:r>
      <w:r w:rsidR="00B7644F" w:rsidRPr="00ED1835">
        <w:tab/>
      </w:r>
      <w:r w:rsidR="00B7644F" w:rsidRPr="00ED1835">
        <w:tab/>
      </w:r>
      <w:r w:rsidR="00B7644F" w:rsidRPr="00ED1835">
        <w:tab/>
        <w:t>(</w:t>
      </w:r>
      <w:r w:rsidR="00741744">
        <w:t>5</w:t>
      </w:r>
      <w:r w:rsidR="00B7644F" w:rsidRPr="00ED1835">
        <w:t>)</w:t>
      </w:r>
    </w:p>
    <w:p w:rsidR="00B7644F" w:rsidRDefault="00B7644F" w:rsidP="00B7644F">
      <w:pPr>
        <w:autoSpaceDE w:val="0"/>
        <w:autoSpaceDN w:val="0"/>
        <w:adjustRightInd w:val="0"/>
        <w:spacing w:after="0" w:line="360" w:lineRule="auto"/>
      </w:pPr>
      <w:proofErr w:type="gramStart"/>
      <w:r>
        <w:t>where</w:t>
      </w:r>
      <w:proofErr w:type="gramEnd"/>
      <w:r>
        <w:t xml:space="preserve"> (</w:t>
      </w:r>
      <w:r>
        <w:rPr>
          <w:rFonts w:ascii="Symbol,Italic" w:hAnsi="Symbol,Italic" w:cs="Symbol,Italic"/>
          <w:i/>
          <w:iCs/>
        </w:rPr>
        <w:t>’</w:t>
      </w:r>
      <w:r>
        <w:rPr>
          <w:rFonts w:ascii="Symbol,Italic" w:hAnsi="Symbol,Italic" w:cs="Symbol,Italic"/>
          <w:iCs/>
        </w:rPr>
        <w:t>)</w:t>
      </w:r>
      <w:r>
        <w:rPr>
          <w:rFonts w:ascii="Symbol,Italic" w:hAnsi="Symbol,Italic" w:cs="Symbol,Italic"/>
          <w:i/>
          <w:iCs/>
        </w:rPr>
        <w:t xml:space="preserve"> </w:t>
      </w:r>
      <w:r>
        <w:t xml:space="preserve">denotes the first derivative of the corresponding function. In this equation, the first two terms on the left-hand side of the </w:t>
      </w:r>
      <w:r w:rsidR="00741744">
        <w:t xml:space="preserve">equation </w:t>
      </w:r>
      <w:r>
        <w:t xml:space="preserve">represent the marginal revenue from an additional unit of output, while the third term represents the </w:t>
      </w:r>
      <w:r w:rsidR="000A7BFB">
        <w:t>(short run)</w:t>
      </w:r>
      <w:r w:rsidR="000A7BFB">
        <w:rPr>
          <w:rStyle w:val="FootnoteReference"/>
        </w:rPr>
        <w:footnoteReference w:id="10"/>
      </w:r>
      <w:r w:rsidR="000A7BFB">
        <w:t xml:space="preserve"> </w:t>
      </w:r>
      <w:r>
        <w:t xml:space="preserve">marginal cost of that output. Thus, the first-order condition for profit maximization requires that marginal revenue equal marginal cost. </w:t>
      </w:r>
      <w:r w:rsidR="00741744">
        <w:t>In</w:t>
      </w:r>
      <w:r>
        <w:t xml:space="preserve"> maximizing its </w:t>
      </w:r>
      <w:r w:rsidR="00741744">
        <w:t xml:space="preserve">own </w:t>
      </w:r>
      <w:r>
        <w:t xml:space="preserve">profits, </w:t>
      </w:r>
      <w:r w:rsidR="00741744">
        <w:t>each supplier assumes that the output of all other oligopolistic competitors are given therefore</w:t>
      </w:r>
      <w:r>
        <w:t xml:space="preserve"> </w:t>
      </w:r>
      <w:proofErr w:type="spellStart"/>
      <w:r w:rsidRPr="009473BC">
        <w:rPr>
          <w:i/>
        </w:rPr>
        <w:t>d</w:t>
      </w:r>
      <w:r w:rsidR="00741744">
        <w:rPr>
          <w:i/>
        </w:rPr>
        <w:t>q</w:t>
      </w:r>
      <w:r w:rsidRPr="009473BC">
        <w:rPr>
          <w:i/>
          <w:vertAlign w:val="subscript"/>
        </w:rPr>
        <w:t>i</w:t>
      </w:r>
      <w:proofErr w:type="spellEnd"/>
      <w:r>
        <w:rPr>
          <w:i/>
        </w:rPr>
        <w:t>=</w:t>
      </w:r>
      <w:proofErr w:type="spellStart"/>
      <w:r w:rsidRPr="009473BC">
        <w:rPr>
          <w:i/>
        </w:rPr>
        <w:t>dQ</w:t>
      </w:r>
      <w:r w:rsidR="00741744">
        <w:rPr>
          <w:i/>
          <w:vertAlign w:val="subscript"/>
        </w:rPr>
        <w:t>L</w:t>
      </w:r>
      <w:proofErr w:type="spellEnd"/>
      <w:r w:rsidR="00741744">
        <w:t>,</w:t>
      </w:r>
      <w:r>
        <w:t xml:space="preserve"> Referring back to the equation</w:t>
      </w:r>
      <w:r w:rsidR="00741744">
        <w:t xml:space="preserve"> but now </w:t>
      </w:r>
      <w:r>
        <w:t>dropping the arguments of each function for notational simplicity, th</w:t>
      </w:r>
      <w:r w:rsidR="00741744">
        <w:t>e</w:t>
      </w:r>
      <w:r>
        <w:t xml:space="preserve"> equation can be rewritten as</w:t>
      </w:r>
      <w:r w:rsidR="00741744">
        <w:t>:</w:t>
      </w:r>
    </w:p>
    <w:p w:rsidR="00B7644F" w:rsidRPr="00ED1835" w:rsidRDefault="000A7BFB" w:rsidP="00B7644F">
      <w:pPr>
        <w:spacing w:line="240" w:lineRule="auto"/>
        <w:ind w:firstLine="720"/>
      </w:pPr>
      <w:r w:rsidRPr="00741744">
        <w:rPr>
          <w:position w:val="-10"/>
          <w:lang w:val="de-DE"/>
        </w:rPr>
        <w:object w:dxaOrig="2120" w:dyaOrig="300">
          <v:shape id="_x0000_i1041" type="#_x0000_t75" style="width:117.75pt;height:17.25pt" o:ole="">
            <v:imagedata r:id="rId38" o:title=""/>
          </v:shape>
          <o:OLEObject Type="Embed" ProgID="Equation.3" ShapeID="_x0000_i1041" DrawAspect="Content" ObjectID="_1471069888" r:id="rId39"/>
        </w:object>
      </w:r>
      <w:r w:rsidR="00B7644F" w:rsidRPr="00ED1835">
        <w:tab/>
      </w:r>
      <w:r w:rsidR="00B7644F" w:rsidRPr="00ED1835">
        <w:tab/>
      </w:r>
      <w:r w:rsidR="00B7644F" w:rsidRPr="00ED1835">
        <w:tab/>
      </w:r>
      <w:r w:rsidR="00B7644F" w:rsidRPr="00ED1835">
        <w:tab/>
      </w:r>
      <w:r w:rsidR="00B7644F" w:rsidRPr="00ED1835">
        <w:tab/>
      </w:r>
      <w:r w:rsidR="00B7644F">
        <w:tab/>
      </w:r>
      <w:r w:rsidR="00B7644F">
        <w:tab/>
      </w:r>
      <w:r w:rsidR="00B7644F">
        <w:tab/>
        <w:t>(</w:t>
      </w:r>
      <w:r w:rsidR="00741744">
        <w:t>6</w:t>
      </w:r>
      <w:r w:rsidR="00B7644F">
        <w:t>)</w:t>
      </w:r>
    </w:p>
    <w:p w:rsidR="00B7644F" w:rsidRDefault="00B7644F" w:rsidP="00B7644F">
      <w:pPr>
        <w:spacing w:line="240" w:lineRule="auto"/>
      </w:pPr>
      <w:proofErr w:type="gramStart"/>
      <w:r>
        <w:t>or</w:t>
      </w:r>
      <w:proofErr w:type="gramEnd"/>
    </w:p>
    <w:p w:rsidR="00B7644F" w:rsidRPr="00ED1835" w:rsidRDefault="00172CCC" w:rsidP="00B7644F">
      <w:pPr>
        <w:spacing w:line="240" w:lineRule="auto"/>
        <w:ind w:firstLine="720"/>
      </w:pPr>
      <w:r w:rsidRPr="000A7BFB">
        <w:rPr>
          <w:position w:val="-28"/>
          <w:lang w:val="de-DE"/>
        </w:rPr>
        <w:object w:dxaOrig="3920" w:dyaOrig="660">
          <v:shape id="_x0000_i1042" type="#_x0000_t75" style="width:218.25pt;height:36.75pt" o:ole="">
            <v:imagedata r:id="rId40" o:title=""/>
          </v:shape>
          <o:OLEObject Type="Embed" ProgID="Equation.3" ShapeID="_x0000_i1042" DrawAspect="Content" ObjectID="_1471069889" r:id="rId41"/>
        </w:object>
      </w:r>
      <w:r w:rsidR="00B7644F" w:rsidRPr="00ED1835">
        <w:tab/>
      </w:r>
      <w:r w:rsidR="00B7644F" w:rsidRPr="00ED1835">
        <w:tab/>
      </w:r>
      <w:r w:rsidR="00B7644F" w:rsidRPr="00ED1835">
        <w:tab/>
      </w:r>
      <w:r w:rsidR="00B7644F" w:rsidRPr="00ED1835">
        <w:tab/>
      </w:r>
      <w:r w:rsidR="00B7644F" w:rsidRPr="00ED1835">
        <w:tab/>
        <w:t>(</w:t>
      </w:r>
      <w:r w:rsidR="000A7BFB">
        <w:t>7</w:t>
      </w:r>
      <w:r w:rsidR="00B7644F" w:rsidRPr="00ED1835">
        <w:t>)</w:t>
      </w:r>
    </w:p>
    <w:p w:rsidR="00B7644F" w:rsidRDefault="00B7644F" w:rsidP="00530AA2">
      <w:pPr>
        <w:spacing w:before="120" w:after="120" w:line="360" w:lineRule="auto"/>
      </w:pPr>
      <w:r>
        <w:t xml:space="preserve">where </w:t>
      </w:r>
      <w:proofErr w:type="spellStart"/>
      <w:r w:rsidRPr="005F366C">
        <w:rPr>
          <w:i/>
        </w:rPr>
        <w:t>MC</w:t>
      </w:r>
      <w:r w:rsidRPr="005F366C">
        <w:rPr>
          <w:i/>
          <w:vertAlign w:val="subscript"/>
        </w:rPr>
        <w:t>i</w:t>
      </w:r>
      <w:proofErr w:type="spellEnd"/>
      <w:r w:rsidRPr="00FB2A77">
        <w:rPr>
          <w:rFonts w:ascii="Symbol" w:hAnsi="Symbol" w:cs="Symbol,Italic"/>
          <w:i/>
          <w:iCs/>
        </w:rPr>
        <w:t></w:t>
      </w:r>
      <w:r>
        <w:rPr>
          <w:rFonts w:ascii="Symbol" w:hAnsi="Symbol" w:cs="Symbol,Italic"/>
          <w:iCs/>
        </w:rPr>
        <w:t></w:t>
      </w:r>
      <w:r w:rsidR="000A7BFB" w:rsidRPr="00D94394">
        <w:rPr>
          <w:position w:val="-10"/>
        </w:rPr>
        <w:object w:dxaOrig="340" w:dyaOrig="340">
          <v:shape id="_x0000_i1043" type="#_x0000_t75" style="width:17.25pt;height:17.25pt" o:ole="">
            <v:imagedata r:id="rId42" o:title=""/>
          </v:shape>
          <o:OLEObject Type="Embed" ProgID="Equation.3" ShapeID="_x0000_i1043" DrawAspect="Content" ObjectID="_1471069890" r:id="rId43"/>
        </w:object>
      </w:r>
      <w:r w:rsidRPr="00FB2A77">
        <w:rPr>
          <w:rFonts w:ascii="Symbol" w:hAnsi="Symbol" w:cs="Symbol,Italic"/>
          <w:i/>
          <w:iCs/>
        </w:rPr>
        <w:t></w:t>
      </w:r>
      <w:r>
        <w:t xml:space="preserve">represents the </w:t>
      </w:r>
      <w:r w:rsidR="000A7BFB">
        <w:t xml:space="preserve">short run </w:t>
      </w:r>
      <w:r>
        <w:t xml:space="preserve">marginal cost for firm </w:t>
      </w:r>
      <w:proofErr w:type="spellStart"/>
      <w:r>
        <w:rPr>
          <w:i/>
        </w:rPr>
        <w:t>i</w:t>
      </w:r>
      <w:proofErr w:type="spellEnd"/>
      <w:r>
        <w:t xml:space="preserve">, </w:t>
      </w:r>
      <w:r w:rsidR="00172CCC" w:rsidRPr="00D94394">
        <w:rPr>
          <w:position w:val="-10"/>
        </w:rPr>
        <w:object w:dxaOrig="300" w:dyaOrig="340">
          <v:shape id="_x0000_i1044" type="#_x0000_t75" style="width:15pt;height:17.25pt" o:ole="">
            <v:imagedata r:id="rId44" o:title=""/>
          </v:shape>
          <o:OLEObject Type="Embed" ProgID="Equation.3" ShapeID="_x0000_i1044" DrawAspect="Content" ObjectID="_1471069891" r:id="rId45"/>
        </w:object>
      </w:r>
      <w:r>
        <w:rPr>
          <w:rFonts w:ascii="Symbol,Italic" w:hAnsi="Symbol,Italic" w:cs="Symbol,Italic"/>
          <w:i/>
          <w:iCs/>
        </w:rPr>
        <w:t xml:space="preserve"> </w:t>
      </w:r>
      <w:r>
        <w:t xml:space="preserve">represents the price elasticity of </w:t>
      </w:r>
      <w:r w:rsidR="00172CCC">
        <w:t xml:space="preserve">demand of the residual demand curve (for the </w:t>
      </w:r>
      <w:r w:rsidR="00172CCC" w:rsidRPr="00172CCC">
        <w:rPr>
          <w:i/>
        </w:rPr>
        <w:t>L</w:t>
      </w:r>
      <w:r w:rsidR="00172CCC">
        <w:t xml:space="preserve">-group only) and </w:t>
      </w:r>
      <w:proofErr w:type="spellStart"/>
      <w:r w:rsidR="00172CCC">
        <w:rPr>
          <w:i/>
          <w:iCs/>
        </w:rPr>
        <w:t>s</w:t>
      </w:r>
      <w:r w:rsidR="00172CCC">
        <w:rPr>
          <w:i/>
          <w:iCs/>
          <w:vertAlign w:val="subscript"/>
        </w:rPr>
        <w:t>i</w:t>
      </w:r>
      <w:proofErr w:type="spellEnd"/>
      <w:r w:rsidR="00172CCC" w:rsidRPr="00FF0745">
        <w:t xml:space="preserve"> </w:t>
      </w:r>
      <w:r w:rsidR="00172CCC">
        <w:t>= (</w:t>
      </w:r>
      <w:proofErr w:type="spellStart"/>
      <w:r w:rsidR="00172CCC">
        <w:rPr>
          <w:i/>
          <w:iCs/>
        </w:rPr>
        <w:t>q</w:t>
      </w:r>
      <w:r w:rsidR="00172CCC">
        <w:rPr>
          <w:i/>
          <w:iCs/>
          <w:vertAlign w:val="subscript"/>
        </w:rPr>
        <w:t>i</w:t>
      </w:r>
      <w:proofErr w:type="spellEnd"/>
      <w:r w:rsidR="00172CCC">
        <w:t>/</w:t>
      </w:r>
      <w:r w:rsidR="00172CCC">
        <w:rPr>
          <w:i/>
          <w:iCs/>
        </w:rPr>
        <w:t>Q</w:t>
      </w:r>
      <w:r w:rsidR="00172CCC">
        <w:rPr>
          <w:i/>
          <w:iCs/>
          <w:vertAlign w:val="subscript"/>
        </w:rPr>
        <w:t>L</w:t>
      </w:r>
      <w:r w:rsidR="00172CCC">
        <w:t xml:space="preserve">) is the </w:t>
      </w:r>
      <w:r w:rsidR="00172CCC" w:rsidRPr="00FF0745">
        <w:t xml:space="preserve">relative market share of </w:t>
      </w:r>
      <w:r w:rsidR="00172CCC">
        <w:t xml:space="preserve">the </w:t>
      </w:r>
      <w:proofErr w:type="spellStart"/>
      <w:r w:rsidR="00172CCC">
        <w:rPr>
          <w:i/>
        </w:rPr>
        <w:t>i</w:t>
      </w:r>
      <w:proofErr w:type="spellEnd"/>
      <w:r w:rsidR="00172CCC">
        <w:t xml:space="preserve">-supplier within the </w:t>
      </w:r>
      <w:r w:rsidR="00172CCC">
        <w:rPr>
          <w:i/>
        </w:rPr>
        <w:t>L</w:t>
      </w:r>
      <w:r w:rsidR="00172CCC">
        <w:t>-g</w:t>
      </w:r>
      <w:r w:rsidR="00172CCC" w:rsidRPr="00FA72D4">
        <w:t>roup</w:t>
      </w:r>
      <w:r w:rsidR="00172CCC">
        <w:t>.</w:t>
      </w:r>
    </w:p>
    <w:p w:rsidR="00F870BC" w:rsidRDefault="00F870BC" w:rsidP="00530AA2">
      <w:pPr>
        <w:spacing w:before="120" w:after="120" w:line="360" w:lineRule="auto"/>
        <w:rPr>
          <w:sz w:val="20"/>
          <w:szCs w:val="20"/>
        </w:rPr>
      </w:pPr>
      <w:r>
        <w:t xml:space="preserve">Now consider the situation when the marginal cost for the supplier changes. Let </w:t>
      </w:r>
      <w:r w:rsidR="0075723F" w:rsidRPr="001F7C91">
        <w:rPr>
          <w:rFonts w:ascii="Symbol" w:hAnsi="Symbol" w:cs="Symbol"/>
          <w:i/>
        </w:rPr>
        <w:t></w:t>
      </w:r>
      <w:proofErr w:type="spellStart"/>
      <w:r w:rsidR="0075723F">
        <w:rPr>
          <w:i/>
          <w:vertAlign w:val="subscript"/>
        </w:rPr>
        <w:t>i</w:t>
      </w:r>
      <w:proofErr w:type="spellEnd"/>
      <w:r>
        <w:rPr>
          <w:sz w:val="16"/>
          <w:szCs w:val="16"/>
        </w:rPr>
        <w:t xml:space="preserve"> </w:t>
      </w:r>
      <w:r>
        <w:t xml:space="preserve">be the </w:t>
      </w:r>
      <w:r w:rsidR="0075723F">
        <w:t xml:space="preserve">ratio of </w:t>
      </w:r>
      <w:r>
        <w:t xml:space="preserve">change in the marginal cost for supplier </w:t>
      </w:r>
      <w:proofErr w:type="spellStart"/>
      <w:r w:rsidRPr="00EA2084">
        <w:rPr>
          <w:i/>
        </w:rPr>
        <w:t>i</w:t>
      </w:r>
      <w:proofErr w:type="spellEnd"/>
      <w:r>
        <w:t xml:space="preserve">, so that </w:t>
      </w:r>
      <w:r w:rsidRPr="001F7C91">
        <w:rPr>
          <w:rFonts w:ascii="Symbol" w:hAnsi="Symbol" w:cs="Symbol"/>
          <w:i/>
        </w:rPr>
        <w:t></w:t>
      </w:r>
      <w:proofErr w:type="spellStart"/>
      <w:r>
        <w:rPr>
          <w:i/>
          <w:vertAlign w:val="subscript"/>
        </w:rPr>
        <w:t>i</w:t>
      </w:r>
      <w:r>
        <w:rPr>
          <w:i/>
        </w:rPr>
        <w:t>MC</w:t>
      </w:r>
      <w:r w:rsidRPr="005F366C">
        <w:rPr>
          <w:i/>
          <w:vertAlign w:val="subscript"/>
        </w:rPr>
        <w:t>i</w:t>
      </w:r>
      <w:proofErr w:type="spellEnd"/>
      <w:r>
        <w:t xml:space="preserve"> is the new marginal cost level for firm </w:t>
      </w:r>
      <w:proofErr w:type="spellStart"/>
      <w:r w:rsidRPr="00377A49">
        <w:rPr>
          <w:i/>
        </w:rPr>
        <w:t>i</w:t>
      </w:r>
      <w:proofErr w:type="spellEnd"/>
      <w:r>
        <w:t xml:space="preserve"> </w:t>
      </w:r>
      <w:r w:rsidR="0003357D">
        <w:t xml:space="preserve">and let </w:t>
      </w:r>
      <w:r w:rsidR="0003357D" w:rsidRPr="001F7C91">
        <w:rPr>
          <w:rFonts w:ascii="Symbol" w:hAnsi="Symbol" w:cs="Symbol"/>
          <w:i/>
        </w:rPr>
        <w:t></w:t>
      </w:r>
      <w:r w:rsidR="0003357D">
        <w:rPr>
          <w:sz w:val="16"/>
          <w:szCs w:val="16"/>
        </w:rPr>
        <w:t xml:space="preserve"> </w:t>
      </w:r>
      <w:r w:rsidR="0003357D">
        <w:t xml:space="preserve">be the ratio of change in the equilibrium price for the </w:t>
      </w:r>
      <w:r w:rsidR="0003357D">
        <w:rPr>
          <w:i/>
        </w:rPr>
        <w:t>L-</w:t>
      </w:r>
      <w:r w:rsidR="0003357D">
        <w:t xml:space="preserve">group after the marginal cost changes so that </w:t>
      </w:r>
      <w:r w:rsidR="0003357D" w:rsidRPr="001F7C91">
        <w:rPr>
          <w:rFonts w:ascii="Symbol" w:hAnsi="Symbol" w:cs="Symbol"/>
          <w:i/>
        </w:rPr>
        <w:t></w:t>
      </w:r>
      <w:r w:rsidR="0003357D">
        <w:rPr>
          <w:i/>
        </w:rPr>
        <w:t>P</w:t>
      </w:r>
      <w:r w:rsidR="0003357D">
        <w:rPr>
          <w:i/>
          <w:vertAlign w:val="subscript"/>
        </w:rPr>
        <w:t>L</w:t>
      </w:r>
      <w:r w:rsidR="0003357D">
        <w:t xml:space="preserve"> is the new </w:t>
      </w:r>
      <w:r w:rsidR="00C11CAD" w:rsidRPr="00C11CAD">
        <w:t xml:space="preserve">equilibrium </w:t>
      </w:r>
      <w:r w:rsidR="00C11CAD">
        <w:t xml:space="preserve">price for the </w:t>
      </w:r>
      <w:r w:rsidR="00C11CAD" w:rsidRPr="00C11CAD">
        <w:rPr>
          <w:i/>
        </w:rPr>
        <w:t>L</w:t>
      </w:r>
      <w:r w:rsidR="00C11CAD">
        <w:t>-group</w:t>
      </w:r>
      <w:r w:rsidR="0003357D">
        <w:t xml:space="preserve"> as a result of the marginal cost changes</w:t>
      </w:r>
      <w:r w:rsidR="00C11CAD">
        <w:t>.</w:t>
      </w:r>
      <w:r>
        <w:t xml:space="preserve"> Solving </w:t>
      </w:r>
      <w:r w:rsidR="00C11CAD">
        <w:t xml:space="preserve">for </w:t>
      </w:r>
      <w:r w:rsidR="00C11CAD" w:rsidRPr="001F7C91">
        <w:rPr>
          <w:rFonts w:ascii="Symbol" w:hAnsi="Symbol" w:cs="Symbol"/>
          <w:i/>
        </w:rPr>
        <w:t></w:t>
      </w:r>
      <w:r w:rsidR="00C11CAD" w:rsidRPr="00C11CAD">
        <w:rPr>
          <w:i/>
        </w:rPr>
        <w:t xml:space="preserve"> </w:t>
      </w:r>
      <w:r w:rsidR="00C11CAD" w:rsidRPr="00C11CAD">
        <w:t xml:space="preserve">using </w:t>
      </w:r>
      <w:r>
        <w:t xml:space="preserve">the last equation </w:t>
      </w:r>
      <w:r w:rsidR="00C11CAD">
        <w:t xml:space="preserve">(7) </w:t>
      </w:r>
      <w:r>
        <w:t>yields</w:t>
      </w:r>
    </w:p>
    <w:p w:rsidR="00C11CAD" w:rsidRPr="00ED1835" w:rsidRDefault="00C11CAD" w:rsidP="00C11CAD">
      <w:pPr>
        <w:spacing w:line="240" w:lineRule="auto"/>
        <w:ind w:firstLine="720"/>
      </w:pPr>
      <w:r w:rsidRPr="00C11CAD">
        <w:rPr>
          <w:position w:val="-10"/>
          <w:lang w:val="de-DE"/>
        </w:rPr>
        <w:object w:dxaOrig="1900" w:dyaOrig="340">
          <v:shape id="_x0000_i1045" type="#_x0000_t75" style="width:105.75pt;height:18.75pt" o:ole="">
            <v:imagedata r:id="rId46" o:title=""/>
          </v:shape>
          <o:OLEObject Type="Embed" ProgID="Equation.3" ShapeID="_x0000_i1045" DrawAspect="Content" ObjectID="_1471069892" r:id="rId47"/>
        </w:object>
      </w:r>
      <w:r w:rsidRPr="00ED1835">
        <w:tab/>
      </w:r>
      <w:r w:rsidRPr="00ED1835">
        <w:tab/>
      </w:r>
      <w:r w:rsidRPr="00ED1835">
        <w:tab/>
      </w:r>
      <w:r w:rsidRPr="00ED1835">
        <w:tab/>
      </w:r>
      <w:r>
        <w:tab/>
      </w:r>
      <w:r>
        <w:tab/>
      </w:r>
      <w:r>
        <w:tab/>
      </w:r>
      <w:r>
        <w:tab/>
      </w:r>
      <w:r w:rsidRPr="00ED1835">
        <w:tab/>
        <w:t>(</w:t>
      </w:r>
      <w:r>
        <w:t>8a</w:t>
      </w:r>
      <w:r w:rsidRPr="00ED1835">
        <w:t>)</w:t>
      </w:r>
    </w:p>
    <w:p w:rsidR="00C11CAD" w:rsidRPr="00ED1835" w:rsidRDefault="0075723F" w:rsidP="00C11CAD">
      <w:pPr>
        <w:spacing w:line="240" w:lineRule="auto"/>
        <w:ind w:firstLine="720"/>
      </w:pPr>
      <w:r w:rsidRPr="00C11CAD">
        <w:rPr>
          <w:position w:val="-10"/>
          <w:lang w:val="de-DE"/>
        </w:rPr>
        <w:object w:dxaOrig="2400" w:dyaOrig="340">
          <v:shape id="_x0000_i1046" type="#_x0000_t75" style="width:133.5pt;height:18.75pt" o:ole="">
            <v:imagedata r:id="rId48" o:title=""/>
          </v:shape>
          <o:OLEObject Type="Embed" ProgID="Equation.3" ShapeID="_x0000_i1046" DrawAspect="Content" ObjectID="_1471069893" r:id="rId49"/>
        </w:object>
      </w:r>
      <w:r w:rsidR="00C11CAD" w:rsidRPr="00ED1835">
        <w:tab/>
      </w:r>
      <w:r w:rsidR="00C11CAD" w:rsidRPr="00ED1835">
        <w:tab/>
      </w:r>
      <w:r w:rsidR="00C11CAD" w:rsidRPr="00ED1835">
        <w:tab/>
      </w:r>
      <w:r w:rsidR="00C11CAD" w:rsidRPr="00ED1835">
        <w:tab/>
      </w:r>
      <w:r w:rsidR="00C11CAD">
        <w:tab/>
      </w:r>
      <w:r w:rsidR="00C11CAD">
        <w:tab/>
      </w:r>
      <w:r w:rsidR="00C11CAD">
        <w:tab/>
      </w:r>
      <w:r w:rsidR="00C11CAD" w:rsidRPr="00ED1835">
        <w:tab/>
        <w:t>(</w:t>
      </w:r>
      <w:r w:rsidR="00C11CAD">
        <w:t>8b</w:t>
      </w:r>
      <w:r w:rsidR="00C11CAD" w:rsidRPr="00ED1835">
        <w:t>)</w:t>
      </w:r>
    </w:p>
    <w:p w:rsidR="00F870BC" w:rsidRDefault="00C11CAD" w:rsidP="00F870BC">
      <w:pPr>
        <w:spacing w:line="240" w:lineRule="auto"/>
        <w:rPr>
          <w:lang w:val="de-DE"/>
        </w:rPr>
      </w:pPr>
      <w:proofErr w:type="gramStart"/>
      <w:r>
        <w:lastRenderedPageBreak/>
        <w:t>where</w:t>
      </w:r>
      <w:proofErr w:type="gramEnd"/>
      <w:r>
        <w:t xml:space="preserve"> </w:t>
      </w:r>
      <w:r w:rsidRPr="00C11CAD">
        <w:rPr>
          <w:position w:val="-10"/>
        </w:rPr>
        <w:object w:dxaOrig="200" w:dyaOrig="300">
          <v:shape id="_x0000_i1047" type="#_x0000_t75" style="width:9.75pt;height:15pt" o:ole="">
            <v:imagedata r:id="rId50" o:title=""/>
          </v:shape>
          <o:OLEObject Type="Embed" ProgID="Equation.3" ShapeID="_x0000_i1047" DrawAspect="Content" ObjectID="_1471069894" r:id="rId51"/>
        </w:object>
      </w:r>
      <w:r>
        <w:t xml:space="preserve">and </w:t>
      </w:r>
      <w:r w:rsidRPr="00D94394">
        <w:rPr>
          <w:position w:val="-10"/>
        </w:rPr>
        <w:object w:dxaOrig="240" w:dyaOrig="340">
          <v:shape id="_x0000_i1048" type="#_x0000_t75" style="width:12pt;height:17.25pt" o:ole="">
            <v:imagedata r:id="rId52" o:title=""/>
          </v:shape>
          <o:OLEObject Type="Embed" ProgID="Equation.3" ShapeID="_x0000_i1048" DrawAspect="Content" ObjectID="_1471069895" r:id="rId53"/>
        </w:object>
      </w:r>
      <w:r>
        <w:t xml:space="preserve"> are the relative share for supplier </w:t>
      </w:r>
      <w:proofErr w:type="spellStart"/>
      <w:r>
        <w:rPr>
          <w:i/>
        </w:rPr>
        <w:t>i</w:t>
      </w:r>
      <w:proofErr w:type="spellEnd"/>
      <w:r>
        <w:rPr>
          <w:i/>
        </w:rPr>
        <w:t xml:space="preserve"> </w:t>
      </w:r>
      <w:r>
        <w:t xml:space="preserve">before and after the marginal cost changes respectively. </w:t>
      </w:r>
      <w:r w:rsidR="00F870BC">
        <w:t>Sum</w:t>
      </w:r>
      <w:r>
        <w:t>ming</w:t>
      </w:r>
      <w:r w:rsidR="00F870BC">
        <w:t xml:space="preserve"> over all </w:t>
      </w:r>
      <w:proofErr w:type="spellStart"/>
      <w:r w:rsidR="00F870BC">
        <w:rPr>
          <w:i/>
        </w:rPr>
        <w:t>i</w:t>
      </w:r>
      <w:r w:rsidR="00F870BC">
        <w:t>’s</w:t>
      </w:r>
      <w:proofErr w:type="spellEnd"/>
      <w:r w:rsidR="00F870BC">
        <w:t xml:space="preserve"> and noting </w:t>
      </w:r>
      <w:proofErr w:type="gramStart"/>
      <w:r w:rsidR="00F870BC">
        <w:t xml:space="preserve">that </w:t>
      </w:r>
      <w:proofErr w:type="gramEnd"/>
      <w:r w:rsidR="0075723F" w:rsidRPr="00377A49">
        <w:rPr>
          <w:position w:val="-16"/>
          <w:lang w:val="de-DE"/>
        </w:rPr>
        <w:object w:dxaOrig="1860" w:dyaOrig="400">
          <v:shape id="_x0000_i1049" type="#_x0000_t75" style="width:103.5pt;height:21.75pt" o:ole="">
            <v:imagedata r:id="rId54" o:title=""/>
          </v:shape>
          <o:OLEObject Type="Embed" ProgID="Equation.3" ShapeID="_x0000_i1049" DrawAspect="Content" ObjectID="_1471069896" r:id="rId55"/>
        </w:object>
      </w:r>
      <w:r w:rsidR="00F870BC">
        <w:t xml:space="preserve">, </w:t>
      </w:r>
      <w:r w:rsidR="0075723F">
        <w:t>we have</w:t>
      </w:r>
    </w:p>
    <w:p w:rsidR="00F870BC" w:rsidRPr="00ED1835" w:rsidRDefault="0075723F" w:rsidP="00F870BC">
      <w:pPr>
        <w:spacing w:line="240" w:lineRule="auto"/>
        <w:ind w:firstLine="720"/>
      </w:pPr>
      <w:r w:rsidRPr="0075723F">
        <w:rPr>
          <w:position w:val="-30"/>
          <w:lang w:val="de-DE"/>
        </w:rPr>
        <w:object w:dxaOrig="3900" w:dyaOrig="540">
          <v:shape id="_x0000_i1050" type="#_x0000_t75" style="width:3in;height:29.25pt" o:ole="">
            <v:imagedata r:id="rId56" o:title=""/>
          </v:shape>
          <o:OLEObject Type="Embed" ProgID="Equation.3" ShapeID="_x0000_i1050" DrawAspect="Content" ObjectID="_1471069897" r:id="rId57"/>
        </w:object>
      </w:r>
      <w:r w:rsidR="00F870BC" w:rsidRPr="00ED1835">
        <w:tab/>
      </w:r>
      <w:r w:rsidR="00F870BC" w:rsidRPr="00ED1835">
        <w:tab/>
      </w:r>
      <w:r w:rsidR="00F870BC" w:rsidRPr="00ED1835">
        <w:tab/>
      </w:r>
      <w:r w:rsidR="00F870BC">
        <w:tab/>
      </w:r>
      <w:r w:rsidR="00F870BC">
        <w:tab/>
      </w:r>
      <w:r w:rsidR="00F870BC" w:rsidRPr="00ED1835">
        <w:t>(</w:t>
      </w:r>
      <w:r>
        <w:t>9</w:t>
      </w:r>
      <w:r w:rsidR="00F870BC">
        <w:t>)</w:t>
      </w:r>
    </w:p>
    <w:p w:rsidR="00F870BC" w:rsidRDefault="0075723F" w:rsidP="00530AA2">
      <w:pPr>
        <w:spacing w:before="120" w:after="120" w:line="360" w:lineRule="auto"/>
      </w:pPr>
      <w:proofErr w:type="gramStart"/>
      <w:r>
        <w:t>o</w:t>
      </w:r>
      <w:r w:rsidR="00F870BC">
        <w:t>r</w:t>
      </w:r>
      <w:proofErr w:type="gramEnd"/>
      <w:r w:rsidR="00F870BC">
        <w:t>:</w:t>
      </w:r>
    </w:p>
    <w:p w:rsidR="00F870BC" w:rsidRPr="00ED1835" w:rsidRDefault="0075723F" w:rsidP="00F870BC">
      <w:pPr>
        <w:spacing w:line="240" w:lineRule="auto"/>
        <w:ind w:firstLine="720"/>
      </w:pPr>
      <w:r w:rsidRPr="0075723F">
        <w:rPr>
          <w:position w:val="-46"/>
          <w:lang w:val="de-DE"/>
        </w:rPr>
        <w:object w:dxaOrig="1260" w:dyaOrig="1020">
          <v:shape id="_x0000_i1051" type="#_x0000_t75" style="width:70.5pt;height:55.5pt" o:ole="">
            <v:imagedata r:id="rId58" o:title=""/>
          </v:shape>
          <o:OLEObject Type="Embed" ProgID="Equation.3" ShapeID="_x0000_i1051" DrawAspect="Content" ObjectID="_1471069898" r:id="rId59"/>
        </w:object>
      </w:r>
      <w:r w:rsidR="00F870BC" w:rsidRPr="00ED1835">
        <w:tab/>
      </w:r>
      <w:r w:rsidR="00F870BC" w:rsidRPr="00ED1835">
        <w:tab/>
      </w:r>
      <w:r w:rsidR="00F870BC" w:rsidRPr="00ED1835">
        <w:tab/>
      </w:r>
      <w:r>
        <w:tab/>
      </w:r>
      <w:r>
        <w:tab/>
      </w:r>
      <w:r>
        <w:tab/>
      </w:r>
      <w:r w:rsidR="00F870BC">
        <w:tab/>
      </w:r>
      <w:r>
        <w:tab/>
      </w:r>
      <w:r w:rsidR="00F870BC">
        <w:tab/>
      </w:r>
      <w:r w:rsidR="00F870BC">
        <w:tab/>
      </w:r>
      <w:r w:rsidR="00F870BC" w:rsidRPr="00ED1835">
        <w:t>(</w:t>
      </w:r>
      <w:r>
        <w:t>10</w:t>
      </w:r>
      <w:r w:rsidR="00F870BC">
        <w:t>)</w:t>
      </w:r>
    </w:p>
    <w:p w:rsidR="00F870BC" w:rsidRDefault="00F870BC" w:rsidP="00530AA2">
      <w:pPr>
        <w:spacing w:before="120" w:after="120" w:line="360" w:lineRule="auto"/>
      </w:pPr>
      <w:r>
        <w:t xml:space="preserve">In the special case when </w:t>
      </w:r>
      <w:r w:rsidRPr="00D94394">
        <w:rPr>
          <w:position w:val="-10"/>
        </w:rPr>
        <w:object w:dxaOrig="220" w:dyaOrig="300">
          <v:shape id="_x0000_i1052" type="#_x0000_t75" style="width:10.5pt;height:15pt" o:ole="">
            <v:imagedata r:id="rId60" o:title=""/>
          </v:shape>
          <o:OLEObject Type="Embed" ProgID="Equation.3" ShapeID="_x0000_i1052" DrawAspect="Content" ObjectID="_1471069899" r:id="rId61"/>
        </w:object>
      </w:r>
      <w:r w:rsidR="0003357D">
        <w:t xml:space="preserve">is the same for </w:t>
      </w:r>
      <w:r>
        <w:t xml:space="preserve">all </w:t>
      </w:r>
      <w:proofErr w:type="spellStart"/>
      <w:r>
        <w:rPr>
          <w:i/>
        </w:rPr>
        <w:t>i</w:t>
      </w:r>
      <w:r>
        <w:t>’s</w:t>
      </w:r>
      <w:proofErr w:type="spellEnd"/>
      <w:r>
        <w:t xml:space="preserve">, then </w:t>
      </w:r>
      <w:r w:rsidRPr="006D6D65">
        <w:rPr>
          <w:rFonts w:ascii="Symbol" w:hAnsi="Symbol"/>
          <w:i/>
        </w:rPr>
        <w:t></w:t>
      </w:r>
      <w:r w:rsidR="0003357D">
        <w:rPr>
          <w:rFonts w:ascii="Symbol" w:hAnsi="Symbol"/>
        </w:rPr>
        <w:t></w:t>
      </w:r>
      <w:r w:rsidR="0003357D" w:rsidRPr="0003357D">
        <w:t xml:space="preserve">is also </w:t>
      </w:r>
      <w:r w:rsidR="0003357D">
        <w:t xml:space="preserve">equal </w:t>
      </w:r>
      <w:proofErr w:type="gramStart"/>
      <w:r w:rsidR="0003357D">
        <w:t xml:space="preserve">to </w:t>
      </w:r>
      <w:proofErr w:type="gramEnd"/>
      <w:r w:rsidR="0003357D" w:rsidRPr="00D94394">
        <w:rPr>
          <w:position w:val="-10"/>
        </w:rPr>
        <w:object w:dxaOrig="220" w:dyaOrig="300">
          <v:shape id="_x0000_i1053" type="#_x0000_t75" style="width:10.5pt;height:15pt" o:ole="">
            <v:imagedata r:id="rId60" o:title=""/>
          </v:shape>
          <o:OLEObject Type="Embed" ProgID="Equation.3" ShapeID="_x0000_i1053" DrawAspect="Content" ObjectID="_1471069900" r:id="rId62"/>
        </w:object>
      </w:r>
      <w:r>
        <w:rPr>
          <w:i/>
        </w:rPr>
        <w:t>.</w:t>
      </w:r>
      <w:r>
        <w:t xml:space="preserve"> In general, however, </w:t>
      </w:r>
      <w:r w:rsidRPr="00D94394">
        <w:rPr>
          <w:position w:val="-10"/>
        </w:rPr>
        <w:object w:dxaOrig="220" w:dyaOrig="300">
          <v:shape id="_x0000_i1054" type="#_x0000_t75" style="width:10.5pt;height:15pt" o:ole="">
            <v:imagedata r:id="rId60" o:title=""/>
          </v:shape>
          <o:OLEObject Type="Embed" ProgID="Equation.3" ShapeID="_x0000_i1054" DrawAspect="Content" ObjectID="_1471069901" r:id="rId63"/>
        </w:object>
      </w:r>
      <w:r w:rsidR="0003357D">
        <w:t xml:space="preserve">can be </w:t>
      </w:r>
      <w:r w:rsidRPr="006D6D65">
        <w:t xml:space="preserve">different for </w:t>
      </w:r>
      <w:r w:rsidR="0003357D">
        <w:t xml:space="preserve">different </w:t>
      </w:r>
      <w:proofErr w:type="spellStart"/>
      <w:r w:rsidRPr="006D6D65">
        <w:rPr>
          <w:i/>
        </w:rPr>
        <w:t>i’s</w:t>
      </w:r>
      <w:proofErr w:type="spellEnd"/>
      <w:r w:rsidRPr="006D6D65">
        <w:t xml:space="preserve">, therefore, the </w:t>
      </w:r>
      <w:r w:rsidR="0003357D">
        <w:t xml:space="preserve">ratio of change in the </w:t>
      </w:r>
      <w:r>
        <w:t xml:space="preserve">price </w:t>
      </w:r>
      <w:r w:rsidR="0003357D">
        <w:t xml:space="preserve">level will be given by the </w:t>
      </w:r>
      <w:r>
        <w:t xml:space="preserve">weighted sum of the </w:t>
      </w:r>
      <w:r w:rsidR="0003357D">
        <w:t xml:space="preserve">changes in the </w:t>
      </w:r>
      <w:r>
        <w:t>marginal costs over the sum of the old marginal costs.</w:t>
      </w:r>
    </w:p>
    <w:p w:rsidR="00F870BC" w:rsidRDefault="0003357D" w:rsidP="00530AA2">
      <w:pPr>
        <w:spacing w:before="120" w:after="120" w:line="360" w:lineRule="auto"/>
      </w:pPr>
      <w:r>
        <w:t>Note that e</w:t>
      </w:r>
      <w:r w:rsidR="00F870BC">
        <w:t>quation (</w:t>
      </w:r>
      <w:r>
        <w:t>10) can also be written in an equivalent ‘percentage change’ form:</w:t>
      </w:r>
    </w:p>
    <w:p w:rsidR="00F870BC" w:rsidRPr="00ED1835" w:rsidRDefault="004E108B" w:rsidP="00F870BC">
      <w:pPr>
        <w:spacing w:line="240" w:lineRule="auto"/>
        <w:ind w:firstLine="720"/>
      </w:pPr>
      <w:r w:rsidRPr="004E108B">
        <w:rPr>
          <w:position w:val="-112"/>
          <w:lang w:val="de-DE"/>
        </w:rPr>
        <w:object w:dxaOrig="2680" w:dyaOrig="2340">
          <v:shape id="_x0000_i1055" type="#_x0000_t75" style="width:150pt;height:127.5pt" o:ole="">
            <v:imagedata r:id="rId64" o:title=""/>
          </v:shape>
          <o:OLEObject Type="Embed" ProgID="Equation.3" ShapeID="_x0000_i1055" DrawAspect="Content" ObjectID="_1471069902" r:id="rId65"/>
        </w:object>
      </w:r>
      <w:r w:rsidR="00F870BC" w:rsidRPr="00ED1835">
        <w:tab/>
      </w:r>
      <w:r w:rsidR="00F870BC" w:rsidRPr="00ED1835">
        <w:tab/>
      </w:r>
      <w:r w:rsidR="00F870BC">
        <w:tab/>
      </w:r>
      <w:r w:rsidR="0003357D">
        <w:tab/>
      </w:r>
      <w:r w:rsidR="0003357D">
        <w:tab/>
      </w:r>
      <w:r w:rsidR="0003357D">
        <w:tab/>
      </w:r>
      <w:r w:rsidR="00F870BC">
        <w:tab/>
      </w:r>
      <w:r w:rsidR="00F870BC" w:rsidRPr="00ED1835">
        <w:t>(</w:t>
      </w:r>
      <w:r w:rsidR="0003357D">
        <w:t>11</w:t>
      </w:r>
      <w:r w:rsidR="00F870BC">
        <w:t>)</w:t>
      </w:r>
    </w:p>
    <w:p w:rsidR="004E108B" w:rsidRDefault="0003357D" w:rsidP="007442DB">
      <w:pPr>
        <w:spacing w:before="120" w:after="120" w:line="360" w:lineRule="auto"/>
      </w:pPr>
      <w:proofErr w:type="gramStart"/>
      <w:r>
        <w:t>where</w:t>
      </w:r>
      <w:proofErr w:type="gramEnd"/>
      <w:r>
        <w:t xml:space="preserve"> </w:t>
      </w:r>
      <w:r w:rsidR="004E108B" w:rsidRPr="00D94394">
        <w:rPr>
          <w:position w:val="-10"/>
        </w:rPr>
        <w:object w:dxaOrig="300" w:dyaOrig="300">
          <v:shape id="_x0000_i1056" type="#_x0000_t75" style="width:15pt;height:15pt" o:ole="">
            <v:imagedata r:id="rId66" o:title=""/>
          </v:shape>
          <o:OLEObject Type="Embed" ProgID="Equation.3" ShapeID="_x0000_i1056" DrawAspect="Content" ObjectID="_1471069903" r:id="rId67"/>
        </w:object>
      </w:r>
      <w:r w:rsidR="004E108B" w:rsidRPr="004E108B">
        <w:rPr>
          <w:i/>
          <w:vertAlign w:val="subscript"/>
        </w:rPr>
        <w:t xml:space="preserve"> </w:t>
      </w:r>
      <w:r>
        <w:t>is the percentage (or rate of) chan</w:t>
      </w:r>
      <w:r w:rsidR="004E108B">
        <w:t>g</w:t>
      </w:r>
      <w:r>
        <w:t>e</w:t>
      </w:r>
      <w:r w:rsidR="004E108B">
        <w:rPr>
          <w:rStyle w:val="FootnoteReference"/>
        </w:rPr>
        <w:footnoteReference w:id="11"/>
      </w:r>
      <w:r w:rsidR="004E108B">
        <w:t xml:space="preserve"> in the price level </w:t>
      </w:r>
      <w:r w:rsidR="004E108B" w:rsidRPr="00D94394">
        <w:rPr>
          <w:position w:val="-10"/>
        </w:rPr>
        <w:object w:dxaOrig="260" w:dyaOrig="300">
          <v:shape id="_x0000_i1057" type="#_x0000_t75" style="width:13.5pt;height:15pt" o:ole="">
            <v:imagedata r:id="rId68" o:title=""/>
          </v:shape>
          <o:OLEObject Type="Embed" ProgID="Equation.3" ShapeID="_x0000_i1057" DrawAspect="Content" ObjectID="_1471069904" r:id="rId69"/>
        </w:object>
      </w:r>
      <w:r>
        <w:t xml:space="preserve"> </w:t>
      </w:r>
      <w:r w:rsidR="004E108B">
        <w:t xml:space="preserve">and </w:t>
      </w:r>
      <w:r w:rsidR="004E108B" w:rsidRPr="00D94394">
        <w:rPr>
          <w:position w:val="-10"/>
        </w:rPr>
        <w:object w:dxaOrig="360" w:dyaOrig="300">
          <v:shape id="_x0000_i1058" type="#_x0000_t75" style="width:18pt;height:15pt" o:ole="">
            <v:imagedata r:id="rId70" o:title=""/>
          </v:shape>
          <o:OLEObject Type="Embed" ProgID="Equation.3" ShapeID="_x0000_i1058" DrawAspect="Content" ObjectID="_1471069905" r:id="rId71"/>
        </w:object>
      </w:r>
      <w:r w:rsidR="004E108B" w:rsidRPr="004E108B">
        <w:rPr>
          <w:i/>
          <w:vertAlign w:val="subscript"/>
        </w:rPr>
        <w:t xml:space="preserve"> </w:t>
      </w:r>
      <w:r w:rsidR="004E108B">
        <w:t xml:space="preserve">is the percentage (or rate of) change in the marginal cost level </w:t>
      </w:r>
      <w:r w:rsidR="004E108B" w:rsidRPr="00D94394">
        <w:rPr>
          <w:position w:val="-10"/>
        </w:rPr>
        <w:object w:dxaOrig="420" w:dyaOrig="300">
          <v:shape id="_x0000_i1059" type="#_x0000_t75" style="width:21pt;height:15pt" o:ole="">
            <v:imagedata r:id="rId72" o:title=""/>
          </v:shape>
          <o:OLEObject Type="Embed" ProgID="Equation.3" ShapeID="_x0000_i1059" DrawAspect="Content" ObjectID="_1471069906" r:id="rId73"/>
        </w:object>
      </w:r>
      <w:r w:rsidR="004E108B">
        <w:t xml:space="preserve">. Equation (11) therefore states that rate of change in the price level will be given by the weighted sum of the rates of changes of the marginal costs divided by the sum of the old marginal costs. Equation (10) or (11) can be used to determine the impact of the (rate of) changes in the marginal costs of supplier(s) </w:t>
      </w:r>
      <w:proofErr w:type="spellStart"/>
      <w:r w:rsidR="004E108B">
        <w:rPr>
          <w:i/>
        </w:rPr>
        <w:t>i’s</w:t>
      </w:r>
      <w:proofErr w:type="spellEnd"/>
      <w:r w:rsidR="004E108B">
        <w:rPr>
          <w:i/>
        </w:rPr>
        <w:t xml:space="preserve"> </w:t>
      </w:r>
      <w:r w:rsidR="004E108B">
        <w:t xml:space="preserve">(for example, following the imposition of a carbon tax, or an emission trading scheme in the electricity sector) on the equilibrium supplier price in the electricity market, assuming that the </w:t>
      </w:r>
      <w:r w:rsidR="004E108B">
        <w:lastRenderedPageBreak/>
        <w:t xml:space="preserve">impacts of these policies are mainly on the marginal costs of the </w:t>
      </w:r>
      <w:r w:rsidR="004E108B">
        <w:rPr>
          <w:i/>
        </w:rPr>
        <w:t>L-</w:t>
      </w:r>
      <w:r w:rsidR="004E108B">
        <w:t>group suppliers rather than on the fringe suppliers.</w:t>
      </w:r>
      <w:r w:rsidR="00AD7477">
        <w:rPr>
          <w:rStyle w:val="FootnoteReference"/>
        </w:rPr>
        <w:footnoteReference w:id="12"/>
      </w:r>
    </w:p>
    <w:p w:rsidR="008B29EF" w:rsidRDefault="003C1FE6" w:rsidP="00C60390">
      <w:pPr>
        <w:spacing w:before="120" w:after="120" w:line="360" w:lineRule="auto"/>
      </w:pPr>
      <w:r>
        <w:br w:type="column"/>
      </w:r>
    </w:p>
    <w:p w:rsidR="008B29EF" w:rsidRDefault="00140165" w:rsidP="008B29EF">
      <w:pPr>
        <w:jc w:val="left"/>
      </w:pPr>
      <w:r>
        <w:rPr>
          <w:noProof/>
        </w:rPr>
        <w:pict>
          <v:shapetype id="_x0000_t202" coordsize="21600,21600" o:spt="202" path="m,l,21600r21600,l21600,xe">
            <v:stroke joinstyle="miter"/>
            <v:path gradientshapeok="t" o:connecttype="rect"/>
          </v:shapetype>
          <v:shape id="_x0000_s1982" type="#_x0000_t202" style="position:absolute;margin-left:276.85pt;margin-top:-28.95pt;width:68.55pt;height:32.85pt;z-index:2516582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style="mso-next-textbox:#_x0000_s1982">
              <w:txbxContent>
                <w:p w:rsidR="00CC6491" w:rsidRDefault="00CC6491" w:rsidP="00776917">
                  <w:r>
                    <w:rPr>
                      <w:sz w:val="20"/>
                      <w:szCs w:val="20"/>
                    </w:rPr>
                    <w:t>Price/</w:t>
                  </w:r>
                  <w:proofErr w:type="gramStart"/>
                  <w:r>
                    <w:rPr>
                      <w:sz w:val="20"/>
                      <w:szCs w:val="20"/>
                    </w:rPr>
                    <w:t>Costs</w:t>
                  </w:r>
                  <w:proofErr w:type="gramEnd"/>
                  <w:r>
                    <w:rPr>
                      <w:sz w:val="20"/>
                      <w:szCs w:val="20"/>
                    </w:rPr>
                    <w:br/>
                    <w:t>($/kWh)</w:t>
                  </w:r>
                </w:p>
              </w:txbxContent>
            </v:textbox>
          </v:shape>
        </w:pict>
      </w:r>
      <w:r>
        <w:rPr>
          <w:noProof/>
        </w:rPr>
        <w:pict>
          <v:shape id="_x0000_s1969" type="#_x0000_t202" style="position:absolute;margin-left:43.05pt;margin-top:-28.95pt;width:54.3pt;height:39.1pt;z-index:2516858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mz7MEA&#10;AADbAAAADwAAAGRycy9kb3ducmV2LnhtbESP0YrCMBRE3wX/IVzBF1lTxa1ajaKC4quuH3Btrm2x&#10;uSlNtPXvjSDs4zAzZ5jlujWleFLtCssKRsMIBHFqdcGZgsvf/mcGwnlkjaVlUvAiB+tVt7PERNuG&#10;T/Q8+0wECLsEFeTeV4mULs3JoBvaijh4N1sb9EHWmdQ1NgFuSjmOolgaLDgs5FjRLqf0fn4YBbdj&#10;M/idN9eDv0xPk3iLxfRqX0r1e+1mAcJT6//D3/ZRK4jH8PkSfoB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5s+zBAAAA2wAAAA8AAAAAAAAAAAAAAAAAmAIAAGRycy9kb3du&#10;cmV2LnhtbFBLBQYAAAAABAAEAPUAAACGAwAAAAA=&#10;" stroked="f">
            <v:textbox style="mso-next-textbox:#_x0000_s1969">
              <w:txbxContent>
                <w:p w:rsidR="00CC6491" w:rsidRPr="00776917" w:rsidRDefault="00CC6491" w:rsidP="008B29EF">
                  <w:pPr>
                    <w:rPr>
                      <w:sz w:val="20"/>
                      <w:szCs w:val="20"/>
                    </w:rPr>
                  </w:pPr>
                  <w:proofErr w:type="gramStart"/>
                  <w:r w:rsidRPr="00776917">
                    <w:rPr>
                      <w:sz w:val="20"/>
                      <w:szCs w:val="20"/>
                    </w:rPr>
                    <w:t>Costs</w:t>
                  </w:r>
                  <w:proofErr w:type="gramEnd"/>
                  <w:r w:rsidRPr="00776917">
                    <w:rPr>
                      <w:sz w:val="20"/>
                      <w:szCs w:val="20"/>
                    </w:rPr>
                    <w:br/>
                  </w:r>
                  <w:r>
                    <w:rPr>
                      <w:sz w:val="20"/>
                      <w:szCs w:val="20"/>
                    </w:rPr>
                    <w:t>(</w:t>
                  </w:r>
                  <w:r w:rsidRPr="00776917">
                    <w:rPr>
                      <w:sz w:val="20"/>
                      <w:szCs w:val="20"/>
                    </w:rPr>
                    <w:t>$/kW</w:t>
                  </w:r>
                  <w:r>
                    <w:rPr>
                      <w:sz w:val="20"/>
                      <w:szCs w:val="20"/>
                    </w:rPr>
                    <w:t>)</w:t>
                  </w:r>
                </w:p>
              </w:txbxContent>
            </v:textbox>
          </v:shape>
        </w:pict>
      </w:r>
      <w:r>
        <w:rPr>
          <w:noProof/>
        </w:rPr>
        <w:pict>
          <v:shape id="_x0000_s1983" type="#_x0000_t202" style="position:absolute;margin-left:368.2pt;margin-top:25.05pt;width:32.25pt;height:17.9pt;z-index:2516981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83">
              <w:txbxContent>
                <w:p w:rsidR="00CC6491" w:rsidRPr="00C60390" w:rsidRDefault="00CC6491" w:rsidP="00776917">
                  <w:pPr>
                    <w:spacing w:after="0" w:line="240" w:lineRule="auto"/>
                  </w:pPr>
                  <w:r w:rsidRPr="00C60390">
                    <w:rPr>
                      <w:i/>
                      <w:iCs/>
                      <w:sz w:val="20"/>
                      <w:szCs w:val="20"/>
                    </w:rPr>
                    <w:t>D</w:t>
                  </w:r>
                  <w:r>
                    <w:rPr>
                      <w:iCs/>
                      <w:sz w:val="20"/>
                      <w:szCs w:val="20"/>
                      <w:vertAlign w:val="subscript"/>
                    </w:rPr>
                    <w:t>ave</w:t>
                  </w:r>
                </w:p>
              </w:txbxContent>
            </v:textbox>
          </v:shape>
        </w:pict>
      </w:r>
      <w:r>
        <w:rPr>
          <w:noProof/>
        </w:rPr>
        <w:pict>
          <v:shape id="_x0000_s1973" type="#_x0000_t202" style="position:absolute;margin-left:184.7pt;margin-top:3.9pt;width:34.85pt;height:17.9pt;z-index:2516889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73">
              <w:txbxContent>
                <w:p w:rsidR="00CC6491" w:rsidRPr="00C60390" w:rsidRDefault="00CC6491" w:rsidP="00C60390">
                  <w:pPr>
                    <w:spacing w:after="0" w:line="240" w:lineRule="auto"/>
                  </w:pPr>
                  <w:r w:rsidRPr="00C60390">
                    <w:rPr>
                      <w:i/>
                      <w:iCs/>
                      <w:sz w:val="20"/>
                      <w:szCs w:val="20"/>
                    </w:rPr>
                    <w:t>D</w:t>
                  </w:r>
                  <w:r w:rsidRPr="00C60390">
                    <w:rPr>
                      <w:iCs/>
                      <w:sz w:val="20"/>
                      <w:szCs w:val="20"/>
                      <w:vertAlign w:val="subscript"/>
                    </w:rPr>
                    <w:t>3</w:t>
                  </w:r>
                </w:p>
              </w:txbxContent>
            </v:textbox>
          </v:shape>
        </w:pict>
      </w:r>
      <w:r>
        <w:rPr>
          <w:noProof/>
        </w:rPr>
        <w:pict>
          <v:shapetype id="_x0000_t32" coordsize="21600,21600" o:spt="32" o:oned="t" path="m,l21600,21600e" filled="f">
            <v:path arrowok="t" fillok="f" o:connecttype="none"/>
            <o:lock v:ext="edit" shapetype="t"/>
          </v:shapetype>
          <v:shape id="_x0000_s1981" type="#_x0000_t32" style="position:absolute;margin-left:335pt;margin-top:-25.25pt;width:.8pt;height:177.35pt;flip:x y;z-index:2516961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2BvcMAAADbAAAADwAAAGRycy9kb3ducmV2LnhtbESPT2vCQBTE7wW/w/KE3urGkEqNriIV&#10;QUov/jn0+Mg+N8Hs25B91fTbu4VCj8PM/IZZrgffqhv1sQlsYDrJQBFXwTbsDJxPu5c3UFGQLbaB&#10;ycAPRVivRk9LLG2484FuR3EqQTiWaKAW6UqtY1WTxzgJHXHyLqH3KEn2Ttse7wnuW51n2Ux7bDgt&#10;1NjRe03V9fjtDXyd/ec8L7beFe4kB6GPJi9mxjyPh80ClNAg/+G/9t4aeM3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9gb3DAAAA2wAAAA8AAAAAAAAAAAAA&#10;AAAAoQIAAGRycy9kb3ducmV2LnhtbFBLBQYAAAAABAAEAPkAAACRAwAAAAA=&#10;">
            <v:stroke endarrow="block"/>
          </v:shape>
        </w:pict>
      </w:r>
      <w:r>
        <w:rPr>
          <w:noProof/>
        </w:rPr>
        <w:pict>
          <v:shape id="_x0000_s1956" type="#_x0000_t32" style="position:absolute;margin-left:200.55pt;margin-top:21.8pt;width:40.95pt;height:84pt;z-index:251675648" o:connectortype="straight"/>
        </w:pict>
      </w:r>
      <w:r>
        <w:rPr>
          <w:noProof/>
        </w:rPr>
        <w:pict>
          <v:shape id="_x0000_s1954" type="#_x0000_t32" style="position:absolute;margin-left:240.35pt;margin-top:15.6pt;width:.05pt;height:137.2pt;z-index:2516736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gdMEAAADbAAAADwAAAGRycy9kb3ducmV2LnhtbERPz48BMRS+S/wPzZO4bOiQJXYoQViO&#10;2L3s7WX6zAzt62RajP9eD5s4fvl+zxaNNeJOtS8dKxj0ExDEmdMl5wp+f7a9CQgfkDUax6TgSR4W&#10;83Zrhql2Dz7S/RRyEUPYp6igCKFKpfRZQRZ931XEkTu72mKIsM6lrvERw62RwyQZS4slx4YCK1oX&#10;lF1PN6vg8j0YfRx3f9Vl95VvstXSfD4PRqlup1lOQQRqwlv8795rBeM4Nn6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SB0wQAAANsAAAAPAAAAAAAAAAAAAAAA&#10;AKECAABkcnMvZG93bnJldi54bWxQSwUGAAAAAAQABAD5AAAAjwMAAAAA&#10;" strokeweight="1pt">
            <v:stroke dashstyle="1 1"/>
          </v:shape>
        </w:pict>
      </w:r>
      <w:r>
        <w:rPr>
          <w:noProof/>
        </w:rPr>
        <w:pict>
          <v:shape id="_x0000_s1970" type="#_x0000_t32" style="position:absolute;margin-left:81.65pt;margin-top:-24.6pt;width:.8pt;height:177.35pt;flip:x y;z-index:2516869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2BvcMAAADbAAAADwAAAGRycy9kb3ducmV2LnhtbESPT2vCQBTE7wW/w/KE3urGkEqNriIV&#10;QUov/jn0+Mg+N8Hs25B91fTbu4VCj8PM/IZZrgffqhv1sQlsYDrJQBFXwTbsDJxPu5c3UFGQLbaB&#10;ycAPRVivRk9LLG2484FuR3EqQTiWaKAW6UqtY1WTxzgJHXHyLqH3KEn2Ttse7wnuW51n2Ux7bDgt&#10;1NjRe03V9fjtDXyd/ec8L7beFe4kB6GPJi9mxjyPh80ClNAg/+G/9t4aeM3h90v6AXr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9gb3DAAAA2wAAAA8AAAAAAAAAAAAA&#10;AAAAoQIAAGRycy9kb3ducmV2LnhtbFBLBQYAAAAABAAEAPkAAACRAwAAAAA=&#10;">
            <v:stroke endarrow="block"/>
          </v:shape>
        </w:pict>
      </w:r>
    </w:p>
    <w:p w:rsidR="008B29EF" w:rsidRDefault="00140165" w:rsidP="008B29EF">
      <w:pPr>
        <w:jc w:val="left"/>
      </w:pPr>
      <w:r>
        <w:rPr>
          <w:noProof/>
        </w:rPr>
        <w:pict>
          <v:shape id="_x0000_s1984" type="#_x0000_t32" style="position:absolute;margin-left:350.8pt;margin-top:7.75pt;width:121.5pt;height:95.95pt;z-index:251699200" o:connectortype="straight"/>
        </w:pict>
      </w:r>
      <w:r>
        <w:rPr>
          <w:noProof/>
        </w:rPr>
        <w:pict>
          <v:shape id="_x0000_s1972" type="#_x0000_t202" style="position:absolute;margin-left:136.85pt;margin-top:3.55pt;width:32.25pt;height:17.9pt;z-index:25165926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72">
              <w:txbxContent>
                <w:p w:rsidR="00CC6491" w:rsidRPr="00C60390" w:rsidRDefault="00CC6491" w:rsidP="00C60390">
                  <w:pPr>
                    <w:spacing w:after="0" w:line="240" w:lineRule="auto"/>
                  </w:pPr>
                  <w:r w:rsidRPr="00C60390">
                    <w:rPr>
                      <w:i/>
                      <w:iCs/>
                      <w:sz w:val="20"/>
                      <w:szCs w:val="20"/>
                    </w:rPr>
                    <w:t>D</w:t>
                  </w:r>
                  <w:r w:rsidRPr="00C60390">
                    <w:rPr>
                      <w:iCs/>
                      <w:sz w:val="20"/>
                      <w:szCs w:val="20"/>
                      <w:vertAlign w:val="subscript"/>
                    </w:rPr>
                    <w:t>2</w:t>
                  </w:r>
                  <w:r w:rsidRPr="00C60390">
                    <w:rPr>
                      <w:iCs/>
                      <w:sz w:val="20"/>
                      <w:szCs w:val="20"/>
                    </w:rPr>
                    <w:t xml:space="preserve"> </w:t>
                  </w:r>
                </w:p>
              </w:txbxContent>
            </v:textbox>
          </v:shape>
        </w:pict>
      </w:r>
      <w:r>
        <w:rPr>
          <w:noProof/>
        </w:rPr>
        <w:pict>
          <v:shape id="_x0000_s1957" type="#_x0000_t32" style="position:absolute;margin-left:149.65pt;margin-top:21.45pt;width:56.25pt;height:69.45pt;z-index:251676672" o:connectortype="straight"/>
        </w:pict>
      </w:r>
    </w:p>
    <w:p w:rsidR="008B29EF" w:rsidRDefault="00140165" w:rsidP="008B29EF">
      <w:pPr>
        <w:jc w:val="left"/>
      </w:pPr>
      <w:r>
        <w:rPr>
          <w:noProof/>
        </w:rPr>
        <w:pict>
          <v:shape id="_x0000_s1947" type="#_x0000_t32" style="position:absolute;margin-left:3in;margin-top:19.8pt;width:.35pt;height:80.4pt;z-index:2516664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gdMEAAADbAAAADwAAAGRycy9kb3ducmV2LnhtbERPz48BMRS+S/wPzZO4bOiQJXYoQViO&#10;2L3s7WX6zAzt62RajP9eD5s4fvl+zxaNNeJOtS8dKxj0ExDEmdMl5wp+f7a9CQgfkDUax6TgSR4W&#10;83Zrhql2Dz7S/RRyEUPYp6igCKFKpfRZQRZ931XEkTu72mKIsM6lrvERw62RwyQZS4slx4YCK1oX&#10;lF1PN6vg8j0YfRx3f9Vl95VvstXSfD4PRqlup1lOQQRqwlv8795rBeM4Nn6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SB0wQAAANsAAAAPAAAAAAAAAAAAAAAA&#10;AKECAABkcnMvZG93bnJldi54bWxQSwUGAAAAAAQABAD5AAAAjwMAAAAA&#10;" strokeweight="1pt">
            <v:stroke dashstyle="1 1"/>
          </v:shape>
        </w:pict>
      </w:r>
      <w:r>
        <w:rPr>
          <w:noProof/>
        </w:rPr>
        <w:pict>
          <v:shape id="_x0000_s1978" type="#_x0000_t32" style="position:absolute;margin-left:83.35pt;margin-top:19.8pt;width:157.05pt;height:.15pt;flip:x;z-index:2516940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k2MUAAADbAAAADwAAAGRycy9kb3ducmV2LnhtbESPzW7CMBCE70i8g7VIvSBwaCm0AYOg&#10;KqVH/i69reJtErDXUWwgvH2NVInjaGa+0UznjTXiQrUvHSsY9BMQxJnTJecKDvtV7w2ED8gajWNS&#10;cCMP81m7NcVUuytv6bILuYgQ9ikqKEKoUil9VpBF33cVcfR+XW0xRFnnUtd4jXBr5HOSjKTFkuNC&#10;gRV9FJSddmer4Pg1eO1u1z/Vcf2ef2bLhRneNkapp06zmIAI1IRH+L/9rRWMX+D+Jf4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wk2MUAAADbAAAADwAAAAAAAAAA&#10;AAAAAAChAgAAZHJzL2Rvd25yZXYueG1sUEsFBgAAAAAEAAQA+QAAAJMDAAAAAA==&#10;" strokeweight="1pt">
            <v:stroke dashstyle="1 1"/>
          </v:shape>
        </w:pict>
      </w:r>
      <w:r>
        <w:rPr>
          <w:noProof/>
        </w:rPr>
        <w:pict>
          <v:shape id="_x0000_s1953" type="#_x0000_t32" style="position:absolute;margin-left:215.75pt;margin-top:19.8pt;width:23.55pt;height:0;z-index:251672576" o:connectortype="straight"/>
        </w:pict>
      </w:r>
      <w:r>
        <w:rPr>
          <w:noProof/>
        </w:rPr>
        <w:pict>
          <v:shape id="_x0000_s1977" type="#_x0000_t202" style="position:absolute;margin-left:51.45pt;margin-top:10.05pt;width:30.65pt;height:17.9pt;z-index:2516602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77">
              <w:txbxContent>
                <w:p w:rsidR="00CC6491" w:rsidRPr="00C60390" w:rsidRDefault="00CC6491" w:rsidP="003C1FE6">
                  <w:pPr>
                    <w:spacing w:after="0" w:line="240" w:lineRule="auto"/>
                  </w:pPr>
                  <w:r>
                    <w:rPr>
                      <w:i/>
                      <w:iCs/>
                      <w:sz w:val="20"/>
                      <w:szCs w:val="20"/>
                    </w:rPr>
                    <w:t>C</w:t>
                  </w:r>
                  <w:r>
                    <w:rPr>
                      <w:iCs/>
                      <w:sz w:val="20"/>
                      <w:szCs w:val="20"/>
                      <w:vertAlign w:val="subscript"/>
                    </w:rPr>
                    <w:t>3</w:t>
                  </w:r>
                  <w:r w:rsidRPr="00C60390">
                    <w:rPr>
                      <w:iCs/>
                      <w:sz w:val="20"/>
                      <w:szCs w:val="20"/>
                    </w:rPr>
                    <w:t xml:space="preserve"> </w:t>
                  </w:r>
                </w:p>
              </w:txbxContent>
            </v:textbox>
          </v:shape>
        </w:pict>
      </w:r>
    </w:p>
    <w:p w:rsidR="008B29EF" w:rsidRDefault="00140165" w:rsidP="008B29EF">
      <w:pPr>
        <w:jc w:val="left"/>
      </w:pPr>
      <w:r>
        <w:rPr>
          <w:noProof/>
        </w:rPr>
        <w:pict>
          <v:shape id="_x0000_s1986" type="#_x0000_t202" style="position:absolute;margin-left:268.05pt;margin-top:3.5pt;width:77.35pt;height:17.9pt;z-index:2516572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86">
              <w:txbxContent>
                <w:p w:rsidR="00CC6491" w:rsidRPr="00C60390" w:rsidRDefault="00CC6491" w:rsidP="00776917">
                  <w:pPr>
                    <w:spacing w:after="0" w:line="240" w:lineRule="auto"/>
                  </w:pPr>
                  <w:r>
                    <w:rPr>
                      <w:i/>
                      <w:iCs/>
                      <w:sz w:val="20"/>
                      <w:szCs w:val="20"/>
                    </w:rPr>
                    <w:t>P</w:t>
                  </w:r>
                  <w:r>
                    <w:rPr>
                      <w:iCs/>
                      <w:sz w:val="20"/>
                      <w:szCs w:val="20"/>
                      <w:vertAlign w:val="subscript"/>
                    </w:rPr>
                    <w:t>ave</w:t>
                  </w:r>
                  <w:r w:rsidRPr="00C60390">
                    <w:rPr>
                      <w:iCs/>
                      <w:sz w:val="20"/>
                      <w:szCs w:val="20"/>
                    </w:rPr>
                    <w:t xml:space="preserve"> </w:t>
                  </w:r>
                  <w:r>
                    <w:rPr>
                      <w:iCs/>
                      <w:sz w:val="20"/>
                      <w:szCs w:val="20"/>
                    </w:rPr>
                    <w:t>=</w:t>
                  </w:r>
                  <w:r w:rsidRPr="00473263">
                    <w:rPr>
                      <w:i/>
                      <w:iCs/>
                      <w:sz w:val="20"/>
                      <w:szCs w:val="20"/>
                    </w:rPr>
                    <w:t xml:space="preserve"> </w:t>
                  </w:r>
                  <w:r>
                    <w:rPr>
                      <w:i/>
                      <w:iCs/>
                      <w:sz w:val="20"/>
                      <w:szCs w:val="20"/>
                    </w:rPr>
                    <w:t>C</w:t>
                  </w:r>
                  <w:r>
                    <w:rPr>
                      <w:iCs/>
                      <w:sz w:val="20"/>
                      <w:szCs w:val="20"/>
                      <w:vertAlign w:val="subscript"/>
                    </w:rPr>
                    <w:t>ave</w:t>
                  </w:r>
                </w:p>
              </w:txbxContent>
            </v:textbox>
          </v:shape>
        </w:pict>
      </w:r>
      <w:r>
        <w:rPr>
          <w:noProof/>
        </w:rPr>
        <w:pict>
          <v:shape id="_x0000_s1987" type="#_x0000_t32" style="position:absolute;margin-left:427.95pt;margin-top:15.05pt;width:.35pt;height:56.1pt;z-index:2517022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EgdMEAAADbAAAADwAAAGRycy9kb3ducmV2LnhtbERPz48BMRS+S/wPzZO4bOiQJXYoQViO&#10;2L3s7WX6zAzt62RajP9eD5s4fvl+zxaNNeJOtS8dKxj0ExDEmdMl5wp+f7a9CQgfkDUax6TgSR4W&#10;83Zrhql2Dz7S/RRyEUPYp6igCKFKpfRZQRZ931XEkTu72mKIsM6lrvERw62RwyQZS4slx4YCK1oX&#10;lF1PN6vg8j0YfRx3f9Vl95VvstXSfD4PRqlup1lOQQRqwlv8795rBeM4Nn6JP0DO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SB0wQAAANsAAAAPAAAAAAAAAAAAAAAA&#10;AKECAABkcnMvZG93bnJldi54bWxQSwUGAAAAAAQABAD5AAAAjwMAAAAA&#10;" strokeweight="1pt">
            <v:stroke dashstyle="1 1"/>
          </v:shape>
        </w:pict>
      </w:r>
      <w:r>
        <w:rPr>
          <w:noProof/>
        </w:rPr>
        <w:pict>
          <v:shape id="_x0000_s1985" type="#_x0000_t32" style="position:absolute;margin-left:335.8pt;margin-top:14.9pt;width:124.4pt;height:.15pt;flip:x;z-index:25170022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k2MUAAADbAAAADwAAAGRycy9kb3ducmV2LnhtbESPzW7CMBCE70i8g7VIvSBwaCm0AYOg&#10;KqVH/i69reJtErDXUWwgvH2NVInjaGa+0UznjTXiQrUvHSsY9BMQxJnTJecKDvtV7w2ED8gajWNS&#10;cCMP81m7NcVUuytv6bILuYgQ9ikqKEKoUil9VpBF33cVcfR+XW0xRFnnUtd4jXBr5HOSjKTFkuNC&#10;gRV9FJSddmer4Pg1eO1u1z/Vcf2ef2bLhRneNkapp06zmIAI1IRH+L/9rRWMX+D+Jf4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wk2MUAAADbAAAADwAAAAAAAAAA&#10;AAAAAAChAgAAZHJzL2Rvd25yZXYueG1sUEsFBgAAAAAEAAQA+QAAAJMDAAAAAA==&#10;" strokeweight="1pt">
            <v:stroke dashstyle="1 1"/>
          </v:shape>
        </w:pict>
      </w:r>
      <w:r>
        <w:rPr>
          <w:noProof/>
        </w:rPr>
        <w:pict>
          <v:shape id="_x0000_s1976" type="#_x0000_t32" style="position:absolute;margin-left:81.9pt;margin-top:20.95pt;width:81.1pt;height:0;flip:x;z-index:2516920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k2MUAAADbAAAADwAAAGRycy9kb3ducmV2LnhtbESPzW7CMBCE70i8g7VIvSBwaCm0AYOg&#10;KqVH/i69reJtErDXUWwgvH2NVInjaGa+0UznjTXiQrUvHSsY9BMQxJnTJecKDvtV7w2ED8gajWNS&#10;cCMP81m7NcVUuytv6bILuYgQ9ikqKEKoUil9VpBF33cVcfR+XW0xRFnnUtd4jXBr5HOSjKTFkuNC&#10;gRV9FJSddmer4Pg1eO1u1z/Vcf2ef2bLhRneNkapp06zmIAI1IRH+L/9rRWMX+D+Jf4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wk2MUAAADbAAAADwAAAAAAAAAA&#10;AAAAAAChAgAAZHJzL2Rvd25yZXYueG1sUEsFBgAAAAAEAAQA+QAAAJMDAAAAAA==&#10;" strokeweight="1pt">
            <v:stroke dashstyle="1 1"/>
          </v:shape>
        </w:pict>
      </w:r>
      <w:r>
        <w:rPr>
          <w:noProof/>
        </w:rPr>
        <w:pict>
          <v:shape id="_x0000_s1948" type="#_x0000_t32" style="position:absolute;margin-left:163pt;margin-top:20.95pt;width:.05pt;height:51.5pt;z-index:2516674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wk2MUAAADbAAAADwAAAGRycy9kb3ducmV2LnhtbESPzW7CMBCE70i8g7VIvSBwaCm0AYOg&#10;KqVH/i69reJtErDXUWwgvH2NVInjaGa+0UznjTXiQrUvHSsY9BMQxJnTJecKDvtV7w2ED8gajWNS&#10;cCMP81m7NcVUuytv6bILuYgQ9ikqKEKoUil9VpBF33cVcfR+XW0xRFnnUtd4jXBr5HOSjKTFkuNC&#10;gRV9FJSddmer4Pg1eO1u1z/Vcf2ef2bLhRneNkapp06zmIAI1IRH+L/9rRWMX+D+Jf4A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Bwk2MUAAADbAAAADwAAAAAAAAAA&#10;AAAAAAChAgAAZHJzL2Rvd25yZXYueG1sUEsFBgAAAAAEAAQA+QAAAJMDAAAAAA==&#10;" strokeweight="1pt">
            <v:stroke dashstyle="1 1"/>
          </v:shape>
        </w:pict>
      </w:r>
      <w:r>
        <w:rPr>
          <w:noProof/>
        </w:rPr>
        <w:pict>
          <v:shape id="_x0000_s1951" type="#_x0000_t32" style="position:absolute;margin-left:162.45pt;margin-top:20.95pt;width:53.3pt;height:.05pt;flip:y;z-index:251670528" o:connectortype="straight"/>
        </w:pict>
      </w:r>
      <w:r>
        <w:rPr>
          <w:noProof/>
        </w:rPr>
        <w:pict>
          <v:shape id="_x0000_s1958" type="#_x0000_t32" style="position:absolute;margin-left:91.95pt;margin-top:3.5pt;width:66.15pt;height:50.25pt;z-index:251677696" o:connectortype="straight"/>
        </w:pict>
      </w:r>
      <w:r>
        <w:rPr>
          <w:noProof/>
        </w:rPr>
        <w:pict>
          <v:shape id="_x0000_s1975" type="#_x0000_t202" style="position:absolute;margin-left:51pt;margin-top:11.6pt;width:30.65pt;height:17.9pt;z-index:2516910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75">
              <w:txbxContent>
                <w:p w:rsidR="00CC6491" w:rsidRPr="00C60390" w:rsidRDefault="00CC6491" w:rsidP="003C1FE6">
                  <w:pPr>
                    <w:spacing w:after="0" w:line="240" w:lineRule="auto"/>
                  </w:pPr>
                  <w:r>
                    <w:rPr>
                      <w:i/>
                      <w:iCs/>
                      <w:sz w:val="20"/>
                      <w:szCs w:val="20"/>
                    </w:rPr>
                    <w:t>C</w:t>
                  </w:r>
                  <w:r>
                    <w:rPr>
                      <w:iCs/>
                      <w:sz w:val="20"/>
                      <w:szCs w:val="20"/>
                      <w:vertAlign w:val="subscript"/>
                    </w:rPr>
                    <w:t>2</w:t>
                  </w:r>
                  <w:r w:rsidRPr="00C60390">
                    <w:rPr>
                      <w:iCs/>
                      <w:sz w:val="20"/>
                      <w:szCs w:val="20"/>
                    </w:rPr>
                    <w:t xml:space="preserve"> </w:t>
                  </w:r>
                </w:p>
              </w:txbxContent>
            </v:textbox>
          </v:shape>
        </w:pict>
      </w:r>
      <w:r>
        <w:rPr>
          <w:noProof/>
        </w:rPr>
        <w:pict>
          <v:shape id="_x0000_s1971" type="#_x0000_t202" style="position:absolute;margin-left:116.55pt;margin-top:3.5pt;width:30.65pt;height:17.9pt;z-index:251661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71">
              <w:txbxContent>
                <w:p w:rsidR="00CC6491" w:rsidRPr="00C60390" w:rsidRDefault="00CC6491" w:rsidP="008B29EF">
                  <w:pPr>
                    <w:spacing w:after="0" w:line="240" w:lineRule="auto"/>
                  </w:pPr>
                  <w:r w:rsidRPr="00C60390">
                    <w:rPr>
                      <w:i/>
                      <w:iCs/>
                      <w:sz w:val="20"/>
                      <w:szCs w:val="20"/>
                    </w:rPr>
                    <w:t>D</w:t>
                  </w:r>
                  <w:r w:rsidRPr="00C60390">
                    <w:rPr>
                      <w:iCs/>
                      <w:sz w:val="20"/>
                      <w:szCs w:val="20"/>
                      <w:vertAlign w:val="subscript"/>
                    </w:rPr>
                    <w:t>1</w:t>
                  </w:r>
                  <w:r w:rsidRPr="00C60390">
                    <w:rPr>
                      <w:iCs/>
                      <w:sz w:val="20"/>
                      <w:szCs w:val="20"/>
                    </w:rPr>
                    <w:t xml:space="preserve"> </w:t>
                  </w:r>
                </w:p>
              </w:txbxContent>
            </v:textbox>
          </v:shape>
        </w:pict>
      </w:r>
    </w:p>
    <w:p w:rsidR="008B29EF" w:rsidRDefault="00140165" w:rsidP="008B29EF">
      <w:pPr>
        <w:jc w:val="left"/>
      </w:pPr>
      <w:r>
        <w:rPr>
          <w:noProof/>
        </w:rPr>
        <w:pict>
          <v:shape id="_x0000_s1949" type="#_x0000_t32" style="position:absolute;margin-left:82.45pt;margin-top:16.65pt;width:81.1pt;height:0;z-index:251668480" o:connectortype="straight"/>
        </w:pict>
      </w:r>
      <w:r>
        <w:rPr>
          <w:noProof/>
        </w:rPr>
        <w:pict>
          <v:shape id="_x0000_s1974" type="#_x0000_t202" style="position:absolute;margin-left:50.55pt;margin-top:6pt;width:30.65pt;height:17.9pt;z-index:2516899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74">
              <w:txbxContent>
                <w:p w:rsidR="00CC6491" w:rsidRPr="00C60390" w:rsidRDefault="00CC6491" w:rsidP="003C1FE6">
                  <w:pPr>
                    <w:spacing w:after="0" w:line="240" w:lineRule="auto"/>
                  </w:pPr>
                  <w:r>
                    <w:rPr>
                      <w:i/>
                      <w:iCs/>
                      <w:sz w:val="20"/>
                      <w:szCs w:val="20"/>
                    </w:rPr>
                    <w:t>C</w:t>
                  </w:r>
                  <w:r w:rsidRPr="00C60390">
                    <w:rPr>
                      <w:iCs/>
                      <w:sz w:val="20"/>
                      <w:szCs w:val="20"/>
                      <w:vertAlign w:val="subscript"/>
                    </w:rPr>
                    <w:t>1</w:t>
                  </w:r>
                  <w:r w:rsidRPr="00C60390">
                    <w:rPr>
                      <w:iCs/>
                      <w:sz w:val="20"/>
                      <w:szCs w:val="20"/>
                    </w:rPr>
                    <w:t xml:space="preserve"> </w:t>
                  </w:r>
                </w:p>
              </w:txbxContent>
            </v:textbox>
          </v:shape>
        </w:pict>
      </w:r>
    </w:p>
    <w:p w:rsidR="008B29EF" w:rsidRDefault="00140165" w:rsidP="008B29EF">
      <w:pPr>
        <w:jc w:val="left"/>
      </w:pPr>
      <w:r>
        <w:rPr>
          <w:noProof/>
        </w:rPr>
        <w:pict>
          <v:shape id="_x0000_s1989" type="#_x0000_t202" style="position:absolute;margin-left:410.9pt;margin-top:20.4pt;width:30.65pt;height:17.9pt;z-index:2517043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89">
              <w:txbxContent>
                <w:p w:rsidR="00CC6491" w:rsidRPr="00C60390" w:rsidRDefault="00CC6491" w:rsidP="00776917">
                  <w:pPr>
                    <w:spacing w:after="0" w:line="240" w:lineRule="auto"/>
                  </w:pPr>
                  <w:r>
                    <w:rPr>
                      <w:i/>
                      <w:iCs/>
                      <w:sz w:val="20"/>
                      <w:szCs w:val="20"/>
                    </w:rPr>
                    <w:t>Q</w:t>
                  </w:r>
                </w:p>
              </w:txbxContent>
            </v:textbox>
          </v:shape>
        </w:pict>
      </w:r>
      <w:r>
        <w:rPr>
          <w:noProof/>
        </w:rPr>
        <w:pict>
          <v:shape id="_x0000_s1988" type="#_x0000_t202" style="position:absolute;margin-left:438.15pt;margin-top:20.4pt;width:63.55pt;height:35.05pt;z-index:2517032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style="mso-next-textbox:#_x0000_s1988">
              <w:txbxContent>
                <w:p w:rsidR="00CC6491" w:rsidRPr="00A667A9" w:rsidRDefault="00CC6491" w:rsidP="00776917">
                  <w:pPr>
                    <w:jc w:val="left"/>
                    <w:rPr>
                      <w:iCs/>
                      <w:sz w:val="20"/>
                      <w:szCs w:val="20"/>
                    </w:rPr>
                  </w:pPr>
                  <w:proofErr w:type="gramStart"/>
                  <w:r>
                    <w:rPr>
                      <w:iCs/>
                      <w:sz w:val="20"/>
                      <w:szCs w:val="20"/>
                    </w:rPr>
                    <w:t>Production</w:t>
                  </w:r>
                  <w:proofErr w:type="gramEnd"/>
                  <w:r>
                    <w:rPr>
                      <w:iCs/>
                      <w:sz w:val="20"/>
                      <w:szCs w:val="20"/>
                    </w:rPr>
                    <w:br/>
                    <w:t>(</w:t>
                  </w:r>
                  <w:proofErr w:type="spellStart"/>
                  <w:r>
                    <w:rPr>
                      <w:iCs/>
                      <w:sz w:val="20"/>
                      <w:szCs w:val="20"/>
                    </w:rPr>
                    <w:t>MWh</w:t>
                  </w:r>
                  <w:proofErr w:type="spellEnd"/>
                  <w:r>
                    <w:rPr>
                      <w:iCs/>
                      <w:sz w:val="20"/>
                      <w:szCs w:val="20"/>
                    </w:rPr>
                    <w:t>)</w:t>
                  </w:r>
                </w:p>
              </w:txbxContent>
            </v:textbox>
          </v:shape>
        </w:pict>
      </w:r>
      <w:r>
        <w:rPr>
          <w:noProof/>
        </w:rPr>
        <w:pict>
          <v:shape id="_x0000_s1945" type="#_x0000_t202" style="position:absolute;margin-left:251.05pt;margin-top:19.2pt;width:84.75pt;height:35.05pt;z-index:25166438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style="mso-next-textbox:#_x0000_s1945">
              <w:txbxContent>
                <w:p w:rsidR="00CC6491" w:rsidRPr="00A667A9" w:rsidRDefault="00CC6491" w:rsidP="008B29EF">
                  <w:pPr>
                    <w:jc w:val="left"/>
                    <w:rPr>
                      <w:iCs/>
                      <w:sz w:val="20"/>
                      <w:szCs w:val="20"/>
                    </w:rPr>
                  </w:pPr>
                  <w:proofErr w:type="gramStart"/>
                  <w:r w:rsidRPr="00A667A9">
                    <w:rPr>
                      <w:iCs/>
                      <w:sz w:val="20"/>
                      <w:szCs w:val="20"/>
                    </w:rPr>
                    <w:t>Capacity</w:t>
                  </w:r>
                  <w:proofErr w:type="gramEnd"/>
                  <w:r>
                    <w:rPr>
                      <w:iCs/>
                      <w:sz w:val="20"/>
                      <w:szCs w:val="20"/>
                    </w:rPr>
                    <w:br/>
                    <w:t>(MW)</w:t>
                  </w:r>
                </w:p>
              </w:txbxContent>
            </v:textbox>
          </v:shape>
        </w:pict>
      </w:r>
      <w:r>
        <w:rPr>
          <w:noProof/>
        </w:rPr>
        <w:pict>
          <v:shape id="_x0000_s1980" type="#_x0000_t32" style="position:absolute;margin-left:335.8pt;margin-top:17.95pt;width:153.05pt;height:1.15pt;flip:y;z-index:2516951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w:pict>
      </w:r>
      <w:r>
        <w:rPr>
          <w:noProof/>
        </w:rPr>
        <w:pict>
          <v:shape id="_x0000_s1955" type="#_x0000_t202" style="position:absolute;margin-left:209.2pt;margin-top:19.85pt;width:40.55pt;height:32.25pt;z-index:2516746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55">
              <w:txbxContent>
                <w:p w:rsidR="00CC6491" w:rsidRDefault="00CC6491" w:rsidP="003C1FE6">
                  <w:pPr>
                    <w:spacing w:after="0" w:line="240" w:lineRule="auto"/>
                    <w:jc w:val="center"/>
                  </w:pPr>
                  <w:r w:rsidRPr="00C60390">
                    <w:rPr>
                      <w:iCs/>
                      <w:sz w:val="20"/>
                      <w:szCs w:val="20"/>
                    </w:rPr>
                    <w:t>Peak</w:t>
                  </w:r>
                </w:p>
              </w:txbxContent>
            </v:textbox>
          </v:shape>
        </w:pict>
      </w:r>
      <w:r>
        <w:rPr>
          <w:noProof/>
        </w:rPr>
        <w:pict>
          <v:shape id="_x0000_s1944" type="#_x0000_t202" style="position:absolute;margin-left:155.65pt;margin-top:19.35pt;width:67.05pt;height:45.15pt;z-index:2516633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style="mso-next-textbox:#_x0000_s1944">
              <w:txbxContent>
                <w:p w:rsidR="00CC6491" w:rsidRPr="001D1AFB" w:rsidRDefault="00CC6491" w:rsidP="00C60390">
                  <w:pPr>
                    <w:spacing w:after="0" w:line="240" w:lineRule="auto"/>
                    <w:jc w:val="center"/>
                    <w:rPr>
                      <w:iCs/>
                      <w:sz w:val="20"/>
                      <w:szCs w:val="20"/>
                    </w:rPr>
                  </w:pPr>
                  <w:r>
                    <w:rPr>
                      <w:iCs/>
                      <w:sz w:val="20"/>
                      <w:szCs w:val="20"/>
                    </w:rPr>
                    <w:t>Intermediate</w:t>
                  </w:r>
                </w:p>
              </w:txbxContent>
            </v:textbox>
          </v:shape>
        </w:pict>
      </w:r>
      <w:r>
        <w:rPr>
          <w:noProof/>
        </w:rPr>
        <w:pict>
          <v:shape id="_x0000_s1946" type="#_x0000_t32" style="position:absolute;margin-left:82.15pt;margin-top:19.2pt;width:203.35pt;height:1.15pt;flip:y;z-index:2516654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w:pict>
      </w:r>
      <w:r>
        <w:rPr>
          <w:noProof/>
        </w:rPr>
        <w:pict>
          <v:shape id="_x0000_s1943" type="#_x0000_t202" style="position:absolute;margin-left:105.15pt;margin-top:19.35pt;width:48.45pt;height:34.9pt;z-index:25166233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CoI8IA&#10;AADaAAAADwAAAGRycy9kb3ducmV2LnhtbESP0YrCMBRE3wX/IVxhX2RNddVq1yjuguKrrh9w21zb&#10;ss1NaaKtf28EwcdhZs4wq01nKnGjxpWWFYxHEQjizOqScwXnv93nAoTzyBory6TgTg42635vhYm2&#10;LR/pdvK5CBB2CSoovK8TKV1WkEE3sjVx8C62MeiDbHKpG2wD3FRyEkVzabDksFBgTb8FZf+nq1Fw&#10;ObTD2bJN9/4cH6fzHyzj1N6V+hh0228Qnjr/Dr/aB63gC55Xw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0KgjwgAAANoAAAAPAAAAAAAAAAAAAAAAAJgCAABkcnMvZG93&#10;bnJldi54bWxQSwUGAAAAAAQABAD1AAAAhwMAAAAA&#10;" stroked="f">
            <v:textbox style="mso-next-textbox:#_x0000_s1943">
              <w:txbxContent>
                <w:p w:rsidR="00CC6491" w:rsidRDefault="00CC6491" w:rsidP="008B29EF">
                  <w:pPr>
                    <w:spacing w:after="0" w:line="240" w:lineRule="auto"/>
                  </w:pPr>
                  <w:r w:rsidRPr="00C60390">
                    <w:rPr>
                      <w:iCs/>
                      <w:sz w:val="20"/>
                      <w:szCs w:val="20"/>
                    </w:rPr>
                    <w:t xml:space="preserve">Base </w:t>
                  </w:r>
                </w:p>
              </w:txbxContent>
            </v:textbox>
          </v:shape>
        </w:pict>
      </w:r>
    </w:p>
    <w:p w:rsidR="008B29EF" w:rsidRDefault="008B29EF" w:rsidP="008B29EF">
      <w:pPr>
        <w:autoSpaceDE w:val="0"/>
        <w:autoSpaceDN w:val="0"/>
        <w:adjustRightInd w:val="0"/>
        <w:spacing w:after="0" w:line="240" w:lineRule="auto"/>
      </w:pPr>
    </w:p>
    <w:p w:rsidR="008B29EF" w:rsidRDefault="008B29EF" w:rsidP="008B29EF">
      <w:pPr>
        <w:autoSpaceDE w:val="0"/>
        <w:autoSpaceDN w:val="0"/>
        <w:adjustRightInd w:val="0"/>
        <w:spacing w:after="0" w:line="240" w:lineRule="auto"/>
      </w:pPr>
    </w:p>
    <w:p w:rsidR="008B29EF" w:rsidRDefault="008B29EF" w:rsidP="008B29EF">
      <w:pPr>
        <w:autoSpaceDE w:val="0"/>
        <w:autoSpaceDN w:val="0"/>
        <w:adjustRightInd w:val="0"/>
        <w:spacing w:after="0" w:line="240" w:lineRule="auto"/>
      </w:pPr>
    </w:p>
    <w:p w:rsidR="008B29EF" w:rsidRDefault="008B29EF" w:rsidP="008B29EF">
      <w:pPr>
        <w:autoSpaceDE w:val="0"/>
        <w:autoSpaceDN w:val="0"/>
        <w:adjustRightInd w:val="0"/>
        <w:spacing w:after="0" w:line="240" w:lineRule="auto"/>
      </w:pPr>
    </w:p>
    <w:p w:rsidR="008B29EF" w:rsidRDefault="008B29EF" w:rsidP="008B29EF">
      <w:pPr>
        <w:autoSpaceDE w:val="0"/>
        <w:autoSpaceDN w:val="0"/>
        <w:adjustRightInd w:val="0"/>
        <w:spacing w:after="0" w:line="240" w:lineRule="auto"/>
      </w:pPr>
    </w:p>
    <w:p w:rsidR="008B29EF" w:rsidRDefault="008B29EF" w:rsidP="008B29EF">
      <w:pPr>
        <w:autoSpaceDE w:val="0"/>
        <w:autoSpaceDN w:val="0"/>
        <w:adjustRightInd w:val="0"/>
        <w:spacing w:after="0" w:line="240" w:lineRule="auto"/>
        <w:jc w:val="center"/>
      </w:pPr>
      <w:r>
        <w:t xml:space="preserve">Figure 1 </w:t>
      </w:r>
      <w:r w:rsidR="009950FD">
        <w:br/>
        <w:t>Capacity and production level in the electricity generation market</w:t>
      </w:r>
    </w:p>
    <w:p w:rsidR="009C1DE5" w:rsidRDefault="009C1DE5" w:rsidP="009C1DE5">
      <w:pPr>
        <w:spacing w:before="120" w:after="120" w:line="360" w:lineRule="auto"/>
        <w:rPr>
          <w:color w:val="FF0000"/>
        </w:rPr>
      </w:pPr>
    </w:p>
    <w:p w:rsidR="009C1DE5" w:rsidRPr="002033B5" w:rsidRDefault="009C1DE5" w:rsidP="009C1DE5">
      <w:pPr>
        <w:autoSpaceDE w:val="0"/>
        <w:autoSpaceDN w:val="0"/>
        <w:adjustRightInd w:val="0"/>
        <w:spacing w:after="0" w:line="240" w:lineRule="auto"/>
        <w:sectPr w:rsidR="009C1DE5" w:rsidRPr="002033B5" w:rsidSect="001A39FA">
          <w:pgSz w:w="12240" w:h="15840"/>
          <w:pgMar w:top="1440" w:right="1440" w:bottom="1440" w:left="1440" w:header="708" w:footer="708" w:gutter="0"/>
          <w:cols w:space="708"/>
          <w:docGrid w:linePitch="360"/>
        </w:sectPr>
      </w:pPr>
    </w:p>
    <w:p w:rsidR="009C1DE5" w:rsidRPr="002033B5" w:rsidRDefault="00140165" w:rsidP="009C1DE5">
      <w:pPr>
        <w:autoSpaceDE w:val="0"/>
        <w:autoSpaceDN w:val="0"/>
        <w:adjustRightInd w:val="0"/>
        <w:spacing w:after="0" w:line="240" w:lineRule="auto"/>
        <w:jc w:val="center"/>
      </w:pPr>
      <w:r>
        <w:rPr>
          <w:noProof/>
        </w:rPr>
      </w:r>
      <w:r>
        <w:rPr>
          <w:noProof/>
        </w:rPr>
        <w:pict>
          <v:group id="Canvas 63" o:spid="_x0000_s14479" editas="canvas" style="width:685.1pt;height:345.8pt;mso-position-horizontal-relative:char;mso-position-vertical-relative:line" coordorigin="1440,1440" coordsize="13702,6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">
            <v:shape id="_x0000_s14480" type="#_x0000_t75" style="position:absolute;left:1440;top:1440;width:13702;height:6916;visibility:visible">
              <v:fill o:detectmouseclick="t"/>
              <v:path o:connecttype="none"/>
            </v:shape>
            <v:shape id="Text Box 65" o:spid="_x0000_s14481" type="#_x0000_t202" style="position:absolute;left:6381;top:3327;width:806;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mLGcQA&#10;AADcAAAADwAAAGRycy9kb3ducmV2LnhtbESPzWrDMBCE74W+g9hCL6WWaxy7caKEtpCSa34eYGOt&#10;f6i1MpYa229fBQo5DjPzDbPeTqYTVxpca1nBWxSDIC6tbrlWcD7tXt9BOI+ssbNMCmZysN08Pqyx&#10;0HbkA12PvhYBwq5ABY33fSGlKxsy6CLbEwevsoNBH+RQSz3gGOCmk0kcZ9Jgy2GhwZ6+Gip/jr9G&#10;QbUfXxbL8fLtz/khzT6xzS92Vur5afpYgfA0+Xv4v73XCtIkgduZc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ZixnEAAAA3AAAAA8AAAAAAAAAAAAAAAAAmAIAAGRycy9k&#10;b3ducmV2LnhtbFBLBQYAAAAABAAEAPUAAACJAwAAAAA=&#10;" stroked="f">
              <v:textbox style="mso-next-textbox:#Text Box 65">
                <w:txbxContent>
                  <w:p w:rsidR="00CC6491" w:rsidRDefault="00CC6491" w:rsidP="009C1DE5">
                    <w:pPr>
                      <w:jc w:val="left"/>
                    </w:pPr>
                    <w:r w:rsidRPr="006E30F8">
                      <w:rPr>
                        <w:sz w:val="20"/>
                        <w:szCs w:val="20"/>
                      </w:rPr>
                      <w:t>Cost</w:t>
                    </w:r>
                    <w:r>
                      <w:t>s</w:t>
                    </w:r>
                  </w:p>
                </w:txbxContent>
              </v:textbox>
            </v:shape>
            <v:shape id="Text Box 66" o:spid="_x0000_s14482" type="#_x0000_t202" style="position:absolute;left:4141;top:5140;width:537;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UugsMA&#10;AADcAAAADwAAAGRycy9kb3ducmV2LnhtbESP26rCMBRE3wX/IWzBF9HUy/FSjeI5oPjq5QO2zbYt&#10;Njulibb+vRGE8zjMzBpmtWlMIZ5UudyyguEgAkGcWJ1zquBy3vXnIJxH1lhYJgUvcrBZt1srjLWt&#10;+UjPk09FgLCLUUHmfRlL6ZKMDLqBLYmDd7OVQR9klUpdYR3gppCjKJpKgzmHhQxL+ssouZ8eRsHt&#10;UPd+FvV17y+z42T6i/nsal9KdTvNdgnCU+P/w9/2QSuYjM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UugsMAAADcAAAADwAAAAAAAAAAAAAAAACYAgAAZHJzL2Rv&#10;d25yZXYueG1sUEsFBgAAAAAEAAQA9QAAAIgDAAAAAA==&#10;" stroked="f">
              <v:textbox style="mso-next-textbox:#Text Box 66">
                <w:txbxContent>
                  <w:p w:rsidR="00CC6491" w:rsidRPr="009D106C" w:rsidRDefault="00CC6491" w:rsidP="009C1DE5">
                    <w:pPr>
                      <w:jc w:val="left"/>
                      <w:rPr>
                        <w:i/>
                        <w:iCs/>
                        <w:sz w:val="20"/>
                        <w:szCs w:val="20"/>
                      </w:rPr>
                    </w:pPr>
                    <w:r>
                      <w:rPr>
                        <w:i/>
                        <w:iCs/>
                        <w:sz w:val="20"/>
                        <w:szCs w:val="20"/>
                      </w:rPr>
                      <w:t>L</w:t>
                    </w:r>
                  </w:p>
                </w:txbxContent>
              </v:textbox>
            </v:shape>
            <v:shape id="Text Box 67" o:spid="_x0000_s14483" type="#_x0000_t202" style="position:absolute;left:2125;top:4953;width:735;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29sQA&#10;AADcAAAADwAAAGRycy9kb3ducmV2LnhtbESP22rDMBBE3wv9B7GFvpRabnDsxokS2kJKXnP5gI21&#10;vlBrZSzVl7+vAoU8DjNzhtnsJtOKgXrXWFbwFsUgiAurG64UXM7713cQziNrbC2Tgpkc7LaPDxvM&#10;tR35SMPJVyJA2OWooPa+y6V0RU0GXWQ74uCVtjfog+wrqXscA9y0chHHqTTYcFiosaOvmoqf069R&#10;UB7Gl+VqvH77S3ZM0k9ssqudlXp+mj7WIDxN/h7+bx+0gmSR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8tvbEAAAA3AAAAA8AAAAAAAAAAAAAAAAAmAIAAGRycy9k&#10;b3ducmV2LnhtbFBLBQYAAAAABAAEAPUAAACJAwAAAAA=&#10;" stroked="f">
              <v:textbox style="mso-next-textbox:#Text Box 67">
                <w:txbxContent>
                  <w:p w:rsidR="00CC6491" w:rsidRPr="002E6ADC" w:rsidRDefault="00CC6491" w:rsidP="009C1DE5">
                    <w:pPr>
                      <w:jc w:val="left"/>
                      <w:rPr>
                        <w:i/>
                        <w:iCs/>
                        <w:sz w:val="20"/>
                        <w:szCs w:val="20"/>
                      </w:rPr>
                    </w:pPr>
                    <w:r w:rsidRPr="002E6ADC">
                      <w:rPr>
                        <w:i/>
                        <w:iCs/>
                        <w:sz w:val="20"/>
                        <w:szCs w:val="20"/>
                      </w:rPr>
                      <w:t>P</w:t>
                    </w:r>
                    <w:r w:rsidRPr="002E6ADC">
                      <w:rPr>
                        <w:i/>
                        <w:iCs/>
                        <w:sz w:val="20"/>
                        <w:szCs w:val="20"/>
                        <w:vertAlign w:val="subscript"/>
                      </w:rPr>
                      <w:t>M</w:t>
                    </w:r>
                  </w:p>
                  <w:p w:rsidR="00CC6491" w:rsidRPr="006E30F8" w:rsidRDefault="00CC6491" w:rsidP="009C1DE5">
                    <w:pPr>
                      <w:jc w:val="left"/>
                    </w:pPr>
                  </w:p>
                </w:txbxContent>
              </v:textbox>
            </v:shape>
            <v:shape id="Text Box 68" o:spid="_x0000_s14484" type="#_x0000_t202" style="position:absolute;left:2109;top:5583;width:735;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ATbcMA&#10;AADcAAAADwAAAGRycy9kb3ducmV2LnhtbESP3YrCMBSE7xd8h3CEvVlsqvjbNYouKN768wCnzbEt&#10;25yUJtr69kYQvBxm5htmue5MJe7UuNKygmEUgyDOrC45V3A57wZzEM4ja6wsk4IHOVivel9LTLRt&#10;+Uj3k89FgLBLUEHhfZ1I6bKCDLrI1sTBu9rGoA+yyaVusA1wU8lRHE+lwZLDQoE1/RWU/Z9uRsH1&#10;0P5MFm2695fZcTzdYjlL7UOp7363+QXhqfOf8Lt90ArGowm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TATbcMAAADcAAAADwAAAAAAAAAAAAAAAACYAgAAZHJzL2Rv&#10;d25yZXYueG1sUEsFBgAAAAAEAAQA9QAAAIgDAAAAAA==&#10;" stroked="f">
              <v:textbox style="mso-next-textbox:#Text Box 68">
                <w:txbxContent>
                  <w:p w:rsidR="00CC6491" w:rsidRPr="002E6ADC" w:rsidRDefault="00CC6491" w:rsidP="009C1DE5">
                    <w:pPr>
                      <w:jc w:val="left"/>
                      <w:rPr>
                        <w:i/>
                        <w:iCs/>
                        <w:sz w:val="20"/>
                        <w:szCs w:val="20"/>
                      </w:rPr>
                    </w:pPr>
                    <w:r w:rsidRPr="002E6ADC">
                      <w:rPr>
                        <w:i/>
                        <w:iCs/>
                        <w:sz w:val="20"/>
                        <w:szCs w:val="20"/>
                      </w:rPr>
                      <w:t>P</w:t>
                    </w:r>
                    <w:r>
                      <w:rPr>
                        <w:i/>
                        <w:iCs/>
                        <w:sz w:val="20"/>
                        <w:szCs w:val="20"/>
                        <w:vertAlign w:val="subscript"/>
                      </w:rPr>
                      <w:t>C</w:t>
                    </w:r>
                  </w:p>
                  <w:p w:rsidR="00CC6491" w:rsidRPr="006E30F8" w:rsidRDefault="00CC6491" w:rsidP="009C1DE5">
                    <w:pPr>
                      <w:jc w:val="left"/>
                    </w:pPr>
                  </w:p>
                </w:txbxContent>
              </v:textbox>
            </v:shape>
            <v:shape id="Text Box 69" o:spid="_x0000_s14485" type="#_x0000_t202" style="position:absolute;left:12324;top:6880;width:1391;height: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NGsMA&#10;AADcAAAADwAAAGRycy9kb3ducmV2LnhtbESP3YrCMBSE7xd8h3AEbxabKlq1GmVdcPHWnwc4bY5t&#10;sTkpTdbWt98IC14OM/MNs9n1phYPal1lWcEkikEQ51ZXXCi4Xg7jJQjnkTXWlknBkxzstoOPDaba&#10;dnyix9kXIkDYpaig9L5JpXR5SQZdZBvi4N1sa9AH2RZSt9gFuKnlNI4TabDisFBiQ98l5ffzr1Fw&#10;O3af81WX/fjr4jRL9lgtMvtUajTsv9YgPPX+Hf5vH7WC2TSB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KNGsMAAADcAAAADwAAAAAAAAAAAAAAAACYAgAAZHJzL2Rv&#10;d25yZXYueG1sUEsFBgAAAAAEAAQA9QAAAIgDAAAAAA==&#10;" stroked="f">
              <v:textbox style="mso-next-textbox:#Text Box 69">
                <w:txbxContent>
                  <w:p w:rsidR="00CC6491" w:rsidRPr="002E6ADC" w:rsidRDefault="00CC6491" w:rsidP="009C1DE5">
                    <w:pPr>
                      <w:jc w:val="left"/>
                      <w:rPr>
                        <w:i/>
                        <w:iCs/>
                        <w:sz w:val="20"/>
                        <w:szCs w:val="20"/>
                      </w:rPr>
                    </w:pPr>
                    <w:r>
                      <w:rPr>
                        <w:i/>
                        <w:iCs/>
                        <w:sz w:val="20"/>
                        <w:szCs w:val="20"/>
                      </w:rPr>
                      <w:t>Q</w:t>
                    </w:r>
                    <w:r>
                      <w:rPr>
                        <w:i/>
                        <w:iCs/>
                        <w:sz w:val="20"/>
                        <w:szCs w:val="20"/>
                        <w:vertAlign w:val="subscript"/>
                      </w:rPr>
                      <w:t>L</w:t>
                    </w:r>
                    <w:r>
                      <w:rPr>
                        <w:i/>
                        <w:iCs/>
                        <w:sz w:val="20"/>
                        <w:szCs w:val="20"/>
                      </w:rPr>
                      <w:t>+Q</w:t>
                    </w:r>
                    <w:r>
                      <w:rPr>
                        <w:i/>
                        <w:iCs/>
                        <w:sz w:val="20"/>
                        <w:szCs w:val="20"/>
                        <w:vertAlign w:val="subscript"/>
                      </w:rPr>
                      <w:t>F</w:t>
                    </w:r>
                    <w:r w:rsidRPr="002E6ADC">
                      <w:rPr>
                        <w:i/>
                        <w:iCs/>
                        <w:sz w:val="20"/>
                        <w:szCs w:val="20"/>
                      </w:rPr>
                      <w:t xml:space="preserve"> </w:t>
                    </w:r>
                    <w:r>
                      <w:rPr>
                        <w:i/>
                        <w:iCs/>
                        <w:sz w:val="20"/>
                        <w:szCs w:val="20"/>
                      </w:rPr>
                      <w:t>=</w:t>
                    </w:r>
                    <w:r w:rsidRPr="002E6ADC">
                      <w:rPr>
                        <w:i/>
                        <w:iCs/>
                        <w:sz w:val="20"/>
                        <w:szCs w:val="20"/>
                      </w:rPr>
                      <w:t>Q</w:t>
                    </w:r>
                  </w:p>
                  <w:p w:rsidR="00CC6491" w:rsidRPr="002E6ADC" w:rsidRDefault="00CC6491" w:rsidP="009C1DE5">
                    <w:pPr>
                      <w:jc w:val="left"/>
                      <w:rPr>
                        <w:i/>
                        <w:iCs/>
                        <w:sz w:val="20"/>
                        <w:szCs w:val="20"/>
                      </w:rPr>
                    </w:pPr>
                  </w:p>
                </w:txbxContent>
              </v:textbox>
            </v:shape>
            <v:shape id="Text Box 70" o:spid="_x0000_s14486" type="#_x0000_t202" style="position:absolute;left:4513;top:5416;width:537;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4ogcIA&#10;AADcAAAADwAAAGRycy9kb3ducmV2LnhtbESP3YrCMBSE7wXfIRzBG9FUca1Wo6iw4q0/D3Bsjm2x&#10;OSlNtPXtzYKwl8PMfMOsNq0pxYtqV1hWMB5FIIhTqwvOFFwvv8M5COeRNZaWScGbHGzW3c4KE20b&#10;PtHr7DMRIOwSVJB7XyVSujQng25kK+Lg3W1t0AdZZ1LX2AS4KeUkimbSYMFhIceK9jmlj/PTKLgf&#10;m8HPorkd/DU+TWc7LOKbfSvV77XbJQhPrf8Pf9tHrWA6ieHvTDgCc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riiBwgAAANwAAAAPAAAAAAAAAAAAAAAAAJgCAABkcnMvZG93&#10;bnJldi54bWxQSwUGAAAAAAQABAD1AAAAhwMAAAAA&#10;" stroked="f">
              <v:textbox style="mso-next-textbox:#Text Box 70">
                <w:txbxContent>
                  <w:p w:rsidR="00CC6491" w:rsidRPr="009D106C" w:rsidRDefault="00CC6491" w:rsidP="009C1DE5">
                    <w:pPr>
                      <w:jc w:val="left"/>
                      <w:rPr>
                        <w:i/>
                        <w:iCs/>
                        <w:sz w:val="20"/>
                        <w:szCs w:val="20"/>
                      </w:rPr>
                    </w:pPr>
                    <w:r>
                      <w:rPr>
                        <w:i/>
                        <w:iCs/>
                        <w:sz w:val="20"/>
                        <w:szCs w:val="20"/>
                      </w:rPr>
                      <w:t>C</w:t>
                    </w:r>
                  </w:p>
                </w:txbxContent>
              </v:textbox>
            </v:shape>
            <v:shape id="Text Box 71" o:spid="_x0000_s14487" type="#_x0000_t202" style="position:absolute;left:5057;top:6309;width:726;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G8870A&#10;AADcAAAADwAAAGRycy9kb3ducmV2LnhtbERPSwrCMBDdC94hjOBGNFX8VqOooLj1c4CxGdtiMylN&#10;tPX2ZiG4fLz/atOYQrypcrllBcNBBII4sTrnVMHteujPQTiPrLGwTAo+5GCzbrdWGGtb85neF5+K&#10;EMIuRgWZ92UspUsyMugGtiQO3MNWBn2AVSp1hXUIN4UcRdFUGsw5NGRY0j6j5Hl5GQWPU92bLOr7&#10;0d9m5/F0h/nsbj9KdTvNdgnCU+P/4p/7pBWMR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zG8870AAADcAAAADwAAAAAAAAAAAAAAAACYAgAAZHJzL2Rvd25yZXYu&#10;eG1sUEsFBgAAAAAEAAQA9QAAAIIDAAAAAA==&#10;" stroked="f">
              <v:textbox style="mso-next-textbox:#Text Box 71">
                <w:txbxContent>
                  <w:p w:rsidR="00CC6491" w:rsidRPr="006E30F8" w:rsidRDefault="00CC6491" w:rsidP="009C1DE5">
                    <w:pPr>
                      <w:jc w:val="left"/>
                      <w:rPr>
                        <w:sz w:val="20"/>
                        <w:szCs w:val="20"/>
                      </w:rPr>
                    </w:pPr>
                    <w:r w:rsidRPr="006E30F8">
                      <w:rPr>
                        <w:sz w:val="20"/>
                        <w:szCs w:val="20"/>
                      </w:rPr>
                      <w:t>D</w:t>
                    </w:r>
                    <w:r>
                      <w:rPr>
                        <w:sz w:val="20"/>
                        <w:szCs w:val="20"/>
                        <w:vertAlign w:val="subscript"/>
                      </w:rPr>
                      <w:t>R</w:t>
                    </w:r>
                  </w:p>
                </w:txbxContent>
              </v:textbox>
            </v:shape>
            <v:shape id="Text Box 72" o:spid="_x0000_s14488" type="#_x0000_t202" style="position:absolute;left:13747;top:6880;width:1395;height:8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ZaMMA&#10;AADcAAAADwAAAGRycy9kb3ducmV2LnhtbESP3YrCMBSE7wXfIZwFb8Smij9r1ygqrHjrzwOcNse2&#10;bHNSmmjr25sFwcthZr5hVpvOVOJBjSstKxhHMQjizOqScwXXy+/oG4TzyBory6TgSQ42635vhYm2&#10;LZ/ocfa5CBB2CSoovK8TKV1WkEEX2Zo4eDfbGPRBNrnUDbYBbio5ieO5NFhyWCiwpn1B2d/5bhTc&#10;ju1wtmzTg78uTtP5DstFap9KDb667Q8IT53/hN/to1YwnSzh/0w4An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0ZaMMAAADcAAAADwAAAAAAAAAAAAAAAACYAgAAZHJzL2Rv&#10;d25yZXYueG1sUEsFBgAAAAAEAAQA9QAAAIgDAAAAAA==&#10;" stroked="f">
              <v:textbox style="mso-next-textbox:#Text Box 72">
                <w:txbxContent>
                  <w:p w:rsidR="00CC6491" w:rsidRPr="006E30F8" w:rsidRDefault="00CC6491" w:rsidP="009C1DE5">
                    <w:pPr>
                      <w:jc w:val="left"/>
                      <w:rPr>
                        <w:sz w:val="20"/>
                        <w:szCs w:val="20"/>
                      </w:rPr>
                    </w:pPr>
                    <w:r w:rsidRPr="006E30F8">
                      <w:rPr>
                        <w:sz w:val="20"/>
                        <w:szCs w:val="20"/>
                      </w:rPr>
                      <w:t>Quantity</w:t>
                    </w:r>
                    <w:r>
                      <w:rPr>
                        <w:sz w:val="20"/>
                        <w:szCs w:val="20"/>
                      </w:rPr>
                      <w:br/>
                      <w:t xml:space="preserve">of </w:t>
                    </w:r>
                    <w:r w:rsidRPr="006E30F8">
                      <w:rPr>
                        <w:sz w:val="20"/>
                        <w:szCs w:val="20"/>
                      </w:rPr>
                      <w:t>electricity</w:t>
                    </w:r>
                  </w:p>
                </w:txbxContent>
              </v:textbox>
            </v:shape>
            <v:shape id="Text Box 73" o:spid="_x0000_s14489" type="#_x0000_t202" style="position:absolute;left:2109;top:5207;width:735;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4mKMEA&#10;AADcAAAADwAAAGRycy9kb3ducmV2LnhtbERPyW7CMBC9V+IfrEHiUhEHmrIEDCpIVFyhfMAQTxYR&#10;j6PYJcnf1wekHp/evt33phZPal1lWcEsikEQZ1ZXXCi4/ZymKxDOI2usLZOCgRzsd6O3Labadnyh&#10;59UXIoSwS1FB6X2TSumykgy6yDbEgctta9AH2BZSt9iFcFPLeRwvpMGKQ0OJDR1Lyh7XX6MgP3fv&#10;n+vu/u1vy0uyOGC1vNtBqcm4/9qA8NT7f/HLfdYKko8wP5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eJijBAAAA3AAAAA8AAAAAAAAAAAAAAAAAmAIAAGRycy9kb3du&#10;cmV2LnhtbFBLBQYAAAAABAAEAPUAAACGAwAAAAA=&#10;" stroked="f">
              <v:textbox style="mso-next-textbox:#Text Box 73">
                <w:txbxContent>
                  <w:p w:rsidR="00CC6491" w:rsidRPr="002E6ADC" w:rsidRDefault="00CC6491" w:rsidP="009C1DE5">
                    <w:pPr>
                      <w:jc w:val="left"/>
                      <w:rPr>
                        <w:i/>
                        <w:iCs/>
                        <w:sz w:val="20"/>
                        <w:szCs w:val="20"/>
                      </w:rPr>
                    </w:pPr>
                    <w:r w:rsidRPr="002E6ADC">
                      <w:rPr>
                        <w:i/>
                        <w:iCs/>
                        <w:sz w:val="20"/>
                        <w:szCs w:val="20"/>
                      </w:rPr>
                      <w:t>P</w:t>
                    </w:r>
                    <w:r>
                      <w:rPr>
                        <w:i/>
                        <w:iCs/>
                        <w:sz w:val="20"/>
                        <w:szCs w:val="20"/>
                        <w:vertAlign w:val="subscript"/>
                      </w:rPr>
                      <w:t>L</w:t>
                    </w:r>
                  </w:p>
                  <w:p w:rsidR="00CC6491" w:rsidRPr="006E30F8" w:rsidRDefault="00CC6491" w:rsidP="009C1DE5">
                    <w:pPr>
                      <w:jc w:val="left"/>
                    </w:pPr>
                  </w:p>
                </w:txbxContent>
              </v:textbox>
            </v:shape>
            <v:shape id="Text Box 74" o:spid="_x0000_s14490" type="#_x0000_t202" style="position:absolute;left:11987;top:2277;width:2611;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Ds8MA&#10;AADcAAAADwAAAGRycy9kb3ducmV2LnhtbESP3YrCMBSE7wXfIRxhb0RTV9efahQVFG/9eYBjc2yL&#10;zUlpoq1vbwRhL4eZ+YZZrBpTiCdVLresYNCPQBAnVuecKricd70pCOeRNRaWScGLHKyW7dYCY21r&#10;PtLz5FMRIOxiVJB5X8ZSuiQjg65vS+Lg3Wxl0AdZpVJXWAe4KeRvFI2lwZzDQoYlbTNK7qeHUXA7&#10;1N2/WX3d+8vkOBpvMJ9c7Uupn06znoPw1Pj/8Ld90ApGwwF8zo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KDs8MAAADcAAAADwAAAAAAAAAAAAAAAACYAgAAZHJzL2Rv&#10;d25yZXYueG1sUEsFBgAAAAAEAAQA9QAAAIgDAAAAAA==&#10;" stroked="f">
              <v:textbox style="mso-next-textbox:#Text Box 74">
                <w:txbxContent>
                  <w:p w:rsidR="00CC6491" w:rsidRPr="008B7A7F" w:rsidRDefault="00CC6491" w:rsidP="009C1DE5">
                    <w:pPr>
                      <w:jc w:val="left"/>
                      <w:rPr>
                        <w:sz w:val="22"/>
                        <w:szCs w:val="22"/>
                      </w:rPr>
                    </w:pPr>
                    <w:r w:rsidRPr="008B7A7F">
                      <w:rPr>
                        <w:sz w:val="22"/>
                        <w:szCs w:val="22"/>
                      </w:rPr>
                      <w:t>Electricity market</w:t>
                    </w:r>
                  </w:p>
                </w:txbxContent>
              </v:textbox>
            </v:shape>
            <v:shape id="Text Box 75" o:spid="_x0000_s14491" type="#_x0000_t202" style="position:absolute;left:7737;top:2054;width:3179;height:84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AdxMMA&#10;AADcAAAADwAAAGRycy9kb3ducmV2LnhtbESP26rCMBRE3wX/IWzBF9HUy/FSjeI5oPjq5QO2zbYt&#10;Njulibb+vRGE8zjMzBpmtWlMIZ5UudyyguEgAkGcWJ1zquBy3vXnIJxH1lhYJgUvcrBZt1srjLWt&#10;+UjPk09FgLCLUUHmfRlL6ZKMDLqBLYmDd7OVQR9klUpdYR3gppCjKJpKgzmHhQxL+ssouZ8eRsHt&#10;UPd+FvV17y+z42T6i/nsal9KdTvNdgnCU+P/w9/2QSuYjEf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AdxMMAAADcAAAADwAAAAAAAAAAAAAAAACYAgAAZHJzL2Rv&#10;d25yZXYueG1sUEsFBgAAAAAEAAQA9QAAAIgDAAAAAA==&#10;" stroked="f">
              <v:textbox style="mso-next-textbox:#Text Box 75">
                <w:txbxContent>
                  <w:p w:rsidR="00CC6491" w:rsidRPr="004F7138" w:rsidRDefault="00CC6491" w:rsidP="009C1DE5">
                    <w:pPr>
                      <w:jc w:val="left"/>
                      <w:rPr>
                        <w:sz w:val="22"/>
                        <w:szCs w:val="22"/>
                      </w:rPr>
                    </w:pPr>
                    <w:r w:rsidRPr="004F7138">
                      <w:rPr>
                        <w:sz w:val="22"/>
                        <w:szCs w:val="22"/>
                      </w:rPr>
                      <w:t>Fringe competitors using CRTS technologies</w:t>
                    </w:r>
                  </w:p>
                  <w:p w:rsidR="00CC6491" w:rsidRPr="00B6545C" w:rsidRDefault="00CC6491" w:rsidP="009C1DE5">
                    <w:pPr>
                      <w:rPr>
                        <w:szCs w:val="22"/>
                      </w:rPr>
                    </w:pPr>
                  </w:p>
                </w:txbxContent>
              </v:textbox>
            </v:shape>
            <v:shape id="Text Box 76" o:spid="_x0000_s14492" type="#_x0000_t202" style="position:absolute;left:2860;top:1940;width:3322;height:13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4X8MA&#10;AADcAAAADwAAAGRycy9kb3ducmV2LnhtbESP3YrCMBSE7xd8h3CEvVk09bdajeIuuHjrzwOcNse2&#10;2JyUJtr69hthwcthZr5h1tvOVOJBjSstKxgNIxDEmdUl5wou5/1gAcJ5ZI2VZVLwJAfbTe9jjYm2&#10;LR/pcfK5CBB2CSoovK8TKV1WkEE3tDVx8K62MeiDbHKpG2wD3FRyHEVzabDksFBgTT8FZbfT3Si4&#10;Htqv2bJNf/0lPk7n31jGqX0q9dnvdisQnjr/Dv+3D1rBdDKB15lwBO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Ey4X8MAAADcAAAADwAAAAAAAAAAAAAAAACYAgAAZHJzL2Rv&#10;d25yZXYueG1sUEsFBgAAAAAEAAQA9QAAAIgDAAAAAA==&#10;" stroked="f">
              <v:textbox style="mso-next-textbox:#Text Box 76">
                <w:txbxContent>
                  <w:p w:rsidR="00CC6491" w:rsidRPr="004F7138" w:rsidRDefault="00CC6491" w:rsidP="009C1DE5">
                    <w:pPr>
                      <w:jc w:val="left"/>
                      <w:rPr>
                        <w:sz w:val="22"/>
                        <w:szCs w:val="22"/>
                      </w:rPr>
                    </w:pPr>
                    <w:r w:rsidRPr="004F7138">
                      <w:rPr>
                        <w:sz w:val="22"/>
                        <w:szCs w:val="22"/>
                      </w:rPr>
                      <w:t>Leading suppliers using technologies which display some degree of scale economies due to large upfront fixed costs</w:t>
                    </w:r>
                  </w:p>
                </w:txbxContent>
              </v:textbox>
            </v:shape>
            <v:shape id="Text Box 77" o:spid="_x0000_s14493" type="#_x0000_t202" style="position:absolute;left:14046;top:5682;width:734;height:5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UgK8QA&#10;AADcAAAADwAAAGRycy9kb3ducmV2LnhtbESP3WrCQBSE7wu+w3IEb0rdaGOs0VXaQou3Rh/gmD0m&#10;wezZkN3m5+27hYKXw8x8w+wOg6lFR62rLCtYzCMQxLnVFRcKLuevlzcQziNrrC2TgpEcHPaTpx2m&#10;2vZ8oi7zhQgQdikqKL1vUildXpJBN7cNcfButjXog2wLqVvsA9zUchlFiTRYcVgosaHPkvJ79mMU&#10;3I7982rTX7/9ZX2Kkw+s1lc7KjWbDu9bEJ4G/wj/t49aQfwaw9+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lICvEAAAA3AAAAA8AAAAAAAAAAAAAAAAAmAIAAGRycy9k&#10;b3ducmV2LnhtbFBLBQYAAAAABAAEAPUAAACJAwAAAAA=&#10;" stroked="f">
              <v:textbox style="mso-next-textbox:#Text Box 77">
                <w:txbxContent>
                  <w:p w:rsidR="00CC6491" w:rsidRPr="006E30F8" w:rsidRDefault="00CC6491" w:rsidP="009C1DE5">
                    <w:pPr>
                      <w:jc w:val="left"/>
                      <w:rPr>
                        <w:sz w:val="20"/>
                        <w:szCs w:val="20"/>
                      </w:rPr>
                    </w:pPr>
                    <w:r w:rsidRPr="006E30F8">
                      <w:rPr>
                        <w:sz w:val="20"/>
                        <w:szCs w:val="20"/>
                      </w:rPr>
                      <w:t>D</w:t>
                    </w:r>
                    <w:r w:rsidRPr="00196A41">
                      <w:rPr>
                        <w:i/>
                        <w:sz w:val="20"/>
                        <w:szCs w:val="20"/>
                        <w:vertAlign w:val="subscript"/>
                      </w:rPr>
                      <w:t>ave</w:t>
                    </w:r>
                  </w:p>
                </w:txbxContent>
              </v:textbox>
            </v:shape>
            <v:shape id="AutoShape 78" o:spid="_x0000_s14494" type="#_x0000_t32" style="position:absolute;left:11426;top:6896;width:283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rkNcYAAADcAAAADwAAAGRycy9kb3ducmV2LnhtbESPQWvCQBSE70L/w/IEb3WjtqKpq4ig&#10;iKWHxhLa2yP7TEKzb8PuqrG/vlsoeBxm5htmsepMIy7kfG1ZwWiYgCAurK65VPBx3D7OQPiArLGx&#10;TApu5GG1fOgtMNX2yu90yUIpIoR9igqqENpUSl9UZNAPbUscvZN1BkOUrpTa4TXCTSPHSTKVBmuO&#10;CxW2tKmo+M7ORsHn6/yc3/I3OuSj+eELnfE/x51Sg363fgERqAv38H97rxU8TZ7h70w8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K5DXGAAAA3AAAAA8AAAAAAAAA&#10;AAAAAAAAoQIAAGRycy9kb3ducmV2LnhtbFBLBQYAAAAABAAEAPkAAACUAwAAAAA=&#10;">
              <v:stroke endarrow="block"/>
            </v:shape>
            <v:shape id="AutoShape 79" o:spid="_x0000_s14495" type="#_x0000_t32" style="position:absolute;left:13232;top:5411;width:1;height:146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uz3cUAAADcAAAADwAAAGRycy9kb3ducmV2LnhtbESPQWsCMRSE74L/IbyCF6lZrUq7NYqK&#10;VY/V9tLbY/O6u5q8LJuo6783guBxmJlvmMmssUacqfalYwX9XgKCOHO65FzB78/X6zsIH5A1Gsek&#10;4EoeZtN2a4Kpdhfe0XkfchEh7FNUUIRQpVL6rCCLvucq4uj9u9piiLLOpa7xEuHWyEGSjKXFkuNC&#10;gRUtC8qO+5NVcFj3R93d5q86bD7yVbaYm+H12yjVeWnmnyACNeEZfrS3WsHwbQz3M/EIyOk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Uuz3cUAAADcAAAADwAAAAAAAAAA&#10;AAAAAAChAgAAZHJzL2Rvd25yZXYueG1sUEsFBgAAAAAEAAQA+QAAAJMDAAAAAA==&#10;" strokeweight="1pt">
              <v:stroke dashstyle="1 1"/>
            </v:shape>
            <v:shape id="AutoShape 80" o:spid="_x0000_s14496" type="#_x0000_t32" style="position:absolute;left:12145;top:3847;width:1901;height:269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NzjscAAADcAAAADwAAAGRycy9kb3ducmV2LnhtbESPW2sCMRSE3wv9D+EUfCma9dJatkbZ&#10;CkIt+OCl76eb003o5mS7ibr990YQ+jjMzDfMbNG5WpyoDdazguEgA0Fcem25UnDYr/ovIEJE1lh7&#10;JgV/FGAxv7+bYa79mbd02sVKJAiHHBWYGJtcylAachgGviFO3rdvHcYk20rqFs8J7mo5yrJn6dBy&#10;WjDY0NJQ+bM7OgWb9fCt+DJ2/bH9tZunVVEfq8dPpXoPXfEKIlIX/8O39rtWMBlP4XomHQE5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g3OOxwAAANwAAAAPAAAAAAAA&#10;AAAAAAAAAKECAABkcnMvZG93bnJldi54bWxQSwUGAAAAAAQABAD5AAAAlQMAAAAA&#10;"/>
            <v:shape id="Text Box 81" o:spid="_x0000_s14497" type="#_x0000_t202" style="position:absolute;left:10858;top:5107;width:614;height:5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gqLsEA&#10;AADcAAAADwAAAGRycy9kb3ducmV2LnhtbERPyW7CMBC9V+IfrEHiUhEHmrIEDCpIVFyhfMAQTxYR&#10;j6PYJcnf1wekHp/evt33phZPal1lWcEsikEQZ1ZXXCi4/ZymKxDOI2usLZOCgRzsd6O3Labadnyh&#10;59UXIoSwS1FB6X2TSumykgy6yDbEgctta9AH2BZSt9iFcFPLeRwvpMGKQ0OJDR1Lyh7XX6MgP3fv&#10;n+vu/u1vy0uyOGC1vNtBqcm4/9qA8NT7f/HLfdYKko+wNpw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LoKi7BAAAA3AAAAA8AAAAAAAAAAAAAAAAAmAIAAGRycy9kb3du&#10;cmV2LnhtbFBLBQYAAAAABAAEAPUAAACGAwAAAAA=&#10;" stroked="f">
              <v:textbox style="mso-next-textbox:#Text Box 81">
                <w:txbxContent>
                  <w:p w:rsidR="00CC6491" w:rsidRPr="002E6ADC" w:rsidRDefault="00CC6491" w:rsidP="009C1DE5">
                    <w:pPr>
                      <w:jc w:val="left"/>
                      <w:rPr>
                        <w:i/>
                        <w:iCs/>
                        <w:sz w:val="20"/>
                        <w:szCs w:val="20"/>
                      </w:rPr>
                    </w:pPr>
                    <w:r w:rsidRPr="002E6ADC">
                      <w:rPr>
                        <w:i/>
                        <w:iCs/>
                        <w:sz w:val="20"/>
                        <w:szCs w:val="20"/>
                      </w:rPr>
                      <w:t>P</w:t>
                    </w:r>
                  </w:p>
                  <w:p w:rsidR="00CC6491" w:rsidRPr="00D35324" w:rsidRDefault="00CC6491" w:rsidP="009C1DE5">
                    <w:pPr>
                      <w:jc w:val="left"/>
                    </w:pPr>
                  </w:p>
                </w:txbxContent>
              </v:textbox>
            </v:shape>
            <v:shape id="AutoShape 82" o:spid="_x0000_s14498" type="#_x0000_t32" style="position:absolute;left:11426;top:3330;width:1;height:3566;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Jalc8QAAADcAAAADwAAAGRycy9kb3ducmV2LnhtbESPQWsCMRSE7wX/Q3iF3mq22pa6GkWF&#10;gngRtwU9Pjavu6Gbl2UTN+u/bwShx2FmvmEWq8E2oqfOG8cKXsYZCOLSacOVgu+vz+cPED4ga2wc&#10;k4IreVgtRw8LzLWLfKS+CJVIEPY5KqhDaHMpfVmTRT92LXHyflxnMSTZVVJ3GBPcNnKSZe/SouG0&#10;UGNL25rK3+JiFZh4MH2728bN/nT2OpK5vjmj1NPjsJ6DCDSE//C9vdMKXqczuJ1JR0A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lqVzxAAAANwAAAAPAAAAAAAAAAAA&#10;AAAAAKECAABkcnMvZG93bnJldi54bWxQSwUGAAAAAAQABAD5AAAAkgMAAAAA&#10;">
              <v:stroke endarrow="block"/>
            </v:shape>
            <v:shape id="Text Box 83" o:spid="_x0000_s14499" type="#_x0000_t202" style="position:absolute;left:4181;top:7501;width:597;height:5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hVVcEA&#10;AADcAAAADwAAAGRycy9kb3ducmV2LnhtbERPS27CMBDdI3EHayp1g8ChSgNNMYhWKmKbwAGGeEii&#10;xuMoNvncvl4gdfn0/rvDaBrRU+dqywrWqwgEcWF1zaWC6+VnuQXhPLLGxjIpmMjBYT+f7TDVduCM&#10;+tyXIoSwS1FB5X2bSumKigy6lW2JA3e3nUEfYFdK3eEQwk0j36IokQZrDg0VtvRdUfGbP4yC+3lY&#10;vH8Mt5O/brI4+cJ6c7OTUq8v4/EThKfR/4uf7rNWEMdhfjgTjoD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SYVVXBAAAA3AAAAA8AAAAAAAAAAAAAAAAAmAIAAGRycy9kb3du&#10;cmV2LnhtbFBLBQYAAAAABAAEAPUAAACGAwAAAAA=&#10;" stroked="f">
              <v:textbox style="mso-next-textbox:#Text Box 83">
                <w:txbxContent>
                  <w:p w:rsidR="00CC6491" w:rsidRPr="00D14FC2" w:rsidRDefault="00CC6491" w:rsidP="009C1DE5">
                    <w:pPr>
                      <w:jc w:val="left"/>
                    </w:pPr>
                    <w:r w:rsidRPr="00D14FC2">
                      <w:t>(a)</w:t>
                    </w:r>
                  </w:p>
                </w:txbxContent>
              </v:textbox>
            </v:shape>
            <v:shape id="Text Box 84" o:spid="_x0000_s14500" type="#_x0000_t202" style="position:absolute;left:8544;top:7498;width:597;height: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TwzsIA&#10;AADcAAAADwAAAGRycy9kb3ducmV2LnhtbESP3YrCMBSE7wXfIRzBG9FU6fpTjaLCirf+PMCxObbF&#10;5qQ00da3NwvCXg4z8w2z2rSmFC+qXWFZwXgUgSBOrS44U3C9/A7nIJxH1lhaJgVvcrBZdzsrTLRt&#10;+ESvs89EgLBLUEHufZVI6dKcDLqRrYiDd7e1QR9knUldYxPgppSTKJpKgwWHhRwr2ueUPs5Po+B+&#10;bAY/i+Z28NfZKZ7usJjd7Fupfq/dLkF4av1/+Ns+agVxPIa/M+EI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1PDOwgAAANwAAAAPAAAAAAAAAAAAAAAAAJgCAABkcnMvZG93&#10;bnJldi54bWxQSwUGAAAAAAQABAD1AAAAhwMAAAAA&#10;" stroked="f">
              <v:textbox style="mso-next-textbox:#Text Box 84">
                <w:txbxContent>
                  <w:p w:rsidR="00CC6491" w:rsidRPr="00D14FC2" w:rsidRDefault="00CC6491" w:rsidP="009C1DE5">
                    <w:pPr>
                      <w:jc w:val="left"/>
                    </w:pPr>
                    <w:r w:rsidRPr="00D14FC2">
                      <w:t>(</w:t>
                    </w:r>
                    <w:r>
                      <w:t>b</w:t>
                    </w:r>
                    <w:r w:rsidRPr="00D14FC2">
                      <w:t>)</w:t>
                    </w:r>
                  </w:p>
                </w:txbxContent>
              </v:textbox>
            </v:shape>
            <v:shape id="Text Box 85" o:spid="_x0000_s14501" type="#_x0000_t202" style="position:absolute;left:12762;top:7402;width:597;height:3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ZuucQA&#10;AADcAAAADwAAAGRycy9kb3ducmV2LnhtbESP22rDMBBE3wv9B7GFvpRabnDsxokS2kJKXnP5gI21&#10;vlBrZSzVl7+vAoU8DjNzhtnsJtOKgXrXWFbwFsUgiAurG64UXM7713cQziNrbC2Tgpkc7LaPDxvM&#10;tR35SMPJVyJA2OWooPa+y6V0RU0GXWQ74uCVtjfog+wrqXscA9y0chHHqTTYcFiosaOvmoqf069R&#10;UB7Gl+VqvH77S3ZM0k9ssqudlXp+mj7WIDxN/h7+bx+0giRZwO1MO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GbrnEAAAA3AAAAA8AAAAAAAAAAAAAAAAAmAIAAGRycy9k&#10;b3ducmV2LnhtbFBLBQYAAAAABAAEAPUAAACJAwAAAAA=&#10;" stroked="f">
              <v:textbox style="mso-next-textbox:#Text Box 85">
                <w:txbxContent>
                  <w:p w:rsidR="00CC6491" w:rsidRPr="00D14FC2" w:rsidRDefault="00CC6491" w:rsidP="009C1DE5">
                    <w:pPr>
                      <w:jc w:val="left"/>
                    </w:pPr>
                    <w:r w:rsidRPr="00D14FC2">
                      <w:t>(</w:t>
                    </w:r>
                    <w:r>
                      <w:t>c</w:t>
                    </w:r>
                    <w:r w:rsidRPr="00D14FC2">
                      <w:t>)</w:t>
                    </w:r>
                  </w:p>
                </w:txbxContent>
              </v:textbox>
            </v:shape>
            <v:shape id="Text Box 86" o:spid="_x0000_s14502" type="#_x0000_t202" style="position:absolute;left:6630;top:5112;width:662;height: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rLIsQA&#10;AADcAAAADwAAAGRycy9kb3ducmV2LnhtbESP3WrCQBSE7wu+w3IEb0rdaGOs0VXaQou3Rh/gmD0m&#10;wezZkN3m5+27hYKXw8x8w+wOg6lFR62rLCtYzCMQxLnVFRcKLuevlzcQziNrrC2TgpEcHPaTpx2m&#10;2vZ8oi7zhQgQdikqKL1vUildXpJBN7cNcfButjXog2wLqVvsA9zUchlFiTRYcVgosaHPkvJ79mMU&#10;3I7982rTX7/9ZX2Kkw+s1lc7KjWbDu9bEJ4G/wj/t49aQRy/wt+ZcAT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KyyLEAAAA3AAAAA8AAAAAAAAAAAAAAAAAmAIAAGRycy9k&#10;b3ducmV2LnhtbFBLBQYAAAAABAAEAPUAAACJAwAAAAA=&#10;" stroked="f">
              <v:textbox style="mso-next-textbox:#Text Box 86">
                <w:txbxContent>
                  <w:p w:rsidR="00CC6491" w:rsidRPr="006E30F8" w:rsidRDefault="00CC6491" w:rsidP="009C1DE5">
                    <w:pPr>
                      <w:jc w:val="left"/>
                    </w:pPr>
                    <w:r w:rsidRPr="002E6ADC">
                      <w:rPr>
                        <w:i/>
                        <w:iCs/>
                        <w:sz w:val="20"/>
                        <w:szCs w:val="20"/>
                      </w:rPr>
                      <w:t>P</w:t>
                    </w:r>
                  </w:p>
                </w:txbxContent>
              </v:textbox>
            </v:shape>
            <v:shape id="AutoShape 87" o:spid="_x0000_s14503" type="#_x0000_t32" style="position:absolute;left:7102;top:6896;width:2781;height:2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y08UAAADcAAAADwAAAGRycy9kb3ducmV2LnhtbESPQWvCQBSE7wX/w/IEb3VjCaVGVxHB&#10;IpYeqhL09sg+k2D2bdhdNfbXdwuCx2FmvmGm88404krO15YVjIYJCOLC6ppLBfvd6vUDhA/IGhvL&#10;pOBOHuaz3ssUM21v/EPXbShFhLDPUEEVQptJ6YuKDPqhbYmjd7LOYIjSlVI7vEW4aeRbkrxLgzXH&#10;hQpbWlZUnLcXo+DwNb7k9/ybNvlovDmiM/5396nUoN8tJiACdeEZfrTXWkGapvB/Jh4BOfs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y08UAAADcAAAADwAAAAAAAAAA&#10;AAAAAAChAgAAZHJzL2Rvd25yZXYueG1sUEsFBgAAAAAEAAQA+QAAAJMDAAAAAA==&#10;">
              <v:stroke endarrow="block"/>
            </v:shape>
            <v:shape id="AutoShape 88" o:spid="_x0000_s14504" type="#_x0000_t32" style="position:absolute;left:7105;top:3369;width:16;height:3547;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FbGu8QAAADcAAAADwAAAGRycy9kb3ducmV2LnhtbESPzWrDMBCE74W+g9hCbo1co4bGiRJK&#10;S6GUXvJz6HGxNrKJtTLWNnHevgoEehxm5htmuR5Dp040pDayhadpAYq4jq5lb2G/+3h8AZUE2WEX&#10;mSxcKMF6dX+3xMrFM2/otBWvMoRThRYakb7SOtUNBUzT2BNn7xCHgJLl4LUb8JzhodNlUcx0wJbz&#10;QoM9vTVUH7e/wcLPPnzPS/MevPE72Qh9taWZWTt5GF8XoIRG+Q/f2p/OgjHPcD2Tj4B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Vsa7xAAAANwAAAAPAAAAAAAAAAAA&#10;AAAAAKECAABkcnMvZG93bnJldi54bWxQSwUGAAAAAAQABAD5AAAAkgMAAAAA&#10;">
              <v:stroke endarrow="block"/>
            </v:shape>
            <v:shape id="AutoShape 89" o:spid="_x0000_s14505" type="#_x0000_t32" style="position:absolute;left:8088;top:5421;width:1;height:152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3AoMYAAADcAAAADwAAAGRycy9kb3ducmV2LnhtbESPS2/CMBCE75X6H6xF6qUChyqgkmIQ&#10;IB49lselt1W8JKH2OooNhH+PkZB6HM3MN5rxtLVGXKjxlWMF/V4Cgjh3uuJCwWG/6n6C8AFZo3FM&#10;Cm7kYTp5fRljpt2Vt3TZhUJECPsMFZQh1JmUPi/Jou+5mjh6R9dYDFE2hdQNXiPcGvmRJENpseK4&#10;UGJNi5Lyv93ZKjit+4P37ea3Pm1GxTKfz0x6+zFKvXXa2ReIQG34Dz/b31pBmg7hcSYeATm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lNwKDGAAAA3AAAAA8AAAAAAAAA&#10;AAAAAAAAoQIAAGRycy9kb3ducmV2LnhtbFBLBQYAAAAABAAEAPkAAACUAwAAAAA=&#10;" strokeweight="1pt">
              <v:stroke dashstyle="1 1"/>
            </v:shape>
            <v:shape id="Text Box 90" o:spid="_x0000_s14506" type="#_x0000_t202" style="position:absolute;left:8544;top:3847;width:1339;height:5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NIcMA&#10;AADcAAAADwAAAGRycy9kb3ducmV2LnhtbESP0YrCMBRE3xf8h3AFXxZNlWp3q1F0wcXXqh9wba5t&#10;sbkpTbT17zfCgo/DzJxhVpve1OJBrassK5hOIhDEudUVFwrOp/34C4TzyBpry6TgSQ4268HHClNt&#10;O87ocfSFCBB2KSoovW9SKV1ekkE3sQ1x8K62NeiDbAupW+wC3NRyFkULabDisFBiQz8l5bfj3Si4&#10;HrrP+Xd3+fXnJIsXO6ySi30qNRr22yUIT71/h//bB60gjhN4nQ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NIcMAAADcAAAADwAAAAAAAAAAAAAAAACYAgAAZHJzL2Rv&#10;d25yZXYueG1sUEsFBgAAAAAEAAQA9QAAAIgDAAAAAA==&#10;" stroked="f">
              <v:textbox style="mso-next-textbox:#Text Box 90">
                <w:txbxContent>
                  <w:p w:rsidR="00CC6491" w:rsidRPr="006E30F8" w:rsidRDefault="00CC6491" w:rsidP="009C1DE5">
                    <w:pPr>
                      <w:jc w:val="left"/>
                      <w:rPr>
                        <w:sz w:val="20"/>
                        <w:szCs w:val="20"/>
                      </w:rPr>
                    </w:pPr>
                    <w:r w:rsidRPr="006E30F8">
                      <w:rPr>
                        <w:sz w:val="20"/>
                        <w:szCs w:val="20"/>
                      </w:rPr>
                      <w:t>LRMC</w:t>
                    </w:r>
                    <w:r>
                      <w:rPr>
                        <w:sz w:val="20"/>
                        <w:szCs w:val="20"/>
                        <w:vertAlign w:val="subscript"/>
                      </w:rPr>
                      <w:t>C</w:t>
                    </w:r>
                  </w:p>
                </w:txbxContent>
              </v:textbox>
            </v:shape>
            <v:shape id="Freeform 91" o:spid="_x0000_s14507" style="position:absolute;left:7107;top:4008;width:2375;height:1856;visibility:visible;mso-wrap-style:square;v-text-anchor:top" coordsize="2905,1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gyMEA&#10;AADcAAAADwAAAGRycy9kb3ducmV2LnhtbERPz2vCMBS+D/wfwhO8zdTpZHTGIh3iDoOhjp0fzTMt&#10;Ni8lSW39781hsOPH93tTjLYVN/KhcaxgMc9AEFdON2wU/Jz3z28gQkTW2DomBXcKUGwnTxvMtRv4&#10;SLdTNCKFcMhRQR1jl0sZqposhrnriBN3cd5iTNAbqT0OKdy28iXL1tJiw6mhxo7KmqrrqbcKvMHv&#10;ZZ+9/vL+a70sP7w59HZQajYdd+8gIo3xX/zn/tQKVqu0Np1JR0B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fIMjBAAAA3AAAAA8AAAAAAAAAAAAAAAAAmAIAAGRycy9kb3du&#10;cmV2LnhtbFBLBQYAAAAABAAEAPUAAACGAwAAAAA=&#10;" path="m,1856v233,-85,1026,-366,1397,-512c1768,1198,2015,1114,2226,978,2437,842,2548,692,2661,529,2774,366,2854,110,2905,e" filled="f">
              <v:path arrowok="t" o:connecttype="custom" o:connectlocs="0,1177290;596265,821703;1045845,522836;1396365,247238;1722755,0" o:connectangles="0,0,0,0,0"/>
            </v:shape>
            <v:shape id="Text Box 92" o:spid="_x0000_s14508" type="#_x0000_t202" style="position:absolute;left:3226;top:5904;width:726;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8yMIA&#10;AADcAAAADwAAAGRycy9kb3ducmV2LnhtbESP3YrCMBSE7wXfIRzBG9FU6fpTjaLCirf+PMCxObbF&#10;5qQ00da3NwvCXg4z8w2z2rSmFC+qXWFZwXgUgSBOrS44U3C9/A7nIJxH1lhaJgVvcrBZdzsrTLRt&#10;+ESvs89EgLBLUEHufZVI6dKcDLqRrYiDd7e1QR9knUldYxPgppSTKJpKgwWHhRwr2ueUPs5Po+B+&#10;bAY/i+Z28NfZKZ7usJjd7Fupfq/dLkF4av1/+Ns+agVxvIC/M+EIyP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ovzIwgAAANwAAAAPAAAAAAAAAAAAAAAAAJgCAABkcnMvZG93&#10;bnJldi54bWxQSwUGAAAAAAQABAD1AAAAhwMAAAAA&#10;" stroked="f">
              <v:textbox style="mso-next-textbox:#Text Box 92">
                <w:txbxContent>
                  <w:p w:rsidR="00CC6491" w:rsidRDefault="00CC6491" w:rsidP="009C1DE5">
                    <w:pPr>
                      <w:jc w:val="left"/>
                    </w:pPr>
                    <w:r w:rsidRPr="006E30F8">
                      <w:rPr>
                        <w:sz w:val="20"/>
                        <w:szCs w:val="20"/>
                      </w:rPr>
                      <w:t>MR</w:t>
                    </w:r>
                  </w:p>
                </w:txbxContent>
              </v:textbox>
            </v:shape>
            <v:shape id="Text Box 93" o:spid="_x0000_s14509" type="#_x0000_t202" style="position:absolute;left:3639;top:4844;width:537;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HDiL0A&#10;AADcAAAADwAAAGRycy9kb3ducmV2LnhtbERPSwrCMBDdC94hjOBGNFX8VqOooLj1c4CxGdtiMylN&#10;tPX2ZiG4fLz/atOYQrypcrllBcNBBII4sTrnVMHteujPQTiPrLGwTAo+5GCzbrdWGGtb85neF5+K&#10;EMIuRgWZ92UspUsyMugGtiQO3MNWBn2AVSp1hXUIN4UcRdFUGsw5NGRY0j6j5Hl5GQWPU92bLOr7&#10;0d9m5/F0h/nsbj9KdTvNdgnCU+P/4p/7pBWMJ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MUHDiL0AAADcAAAADwAAAAAAAAAAAAAAAACYAgAAZHJzL2Rvd25yZXYu&#10;eG1sUEsFBgAAAAAEAAQA9QAAAIIDAAAAAA==&#10;" stroked="f">
              <v:textbox style="mso-next-textbox:#Text Box 93">
                <w:txbxContent>
                  <w:p w:rsidR="00CC6491" w:rsidRPr="009D106C" w:rsidRDefault="00CC6491" w:rsidP="009C1DE5">
                    <w:pPr>
                      <w:jc w:val="left"/>
                      <w:rPr>
                        <w:i/>
                        <w:iCs/>
                        <w:sz w:val="20"/>
                        <w:szCs w:val="20"/>
                      </w:rPr>
                    </w:pPr>
                    <w:r w:rsidRPr="009D106C">
                      <w:rPr>
                        <w:i/>
                        <w:iCs/>
                        <w:sz w:val="20"/>
                        <w:szCs w:val="20"/>
                      </w:rPr>
                      <w:t>M</w:t>
                    </w:r>
                  </w:p>
                </w:txbxContent>
              </v:textbox>
            </v:shape>
            <v:shape id="Text Box 94" o:spid="_x0000_s14510" type="#_x0000_t202" style="position:absolute;left:4102;top:6998;width:730;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1mE8QA&#10;AADcAAAADwAAAGRycy9kb3ducmV2LnhtbESP0WrCQBRE34X+w3ILfRHdKBo1dRNqocXXRD/gmr0m&#10;odm7Ibs18e+7BcHHYWbOMPtsNK24Ue8aywoW8wgEcWl1w5WC8+lrtgXhPLLG1jIpuJODLH2Z7DHR&#10;duCcboWvRICwS1BB7X2XSOnKmgy6ue2Ig3e1vUEfZF9J3eMQ4KaVyyiKpcGGw0KNHX3WVP4Uv0bB&#10;9ThM17vh8u3Pm3wVH7DZXOxdqbfX8eMdhKfRP8OP9lErWK0X8H8mHAG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ZhPEAAAA3AAAAA8AAAAAAAAAAAAAAAAAmAIAAGRycy9k&#10;b3ducmV2LnhtbFBLBQYAAAAABAAEAPUAAACJAwAAAAA=&#10;" stroked="f">
              <v:textbox style="mso-next-textbox:#Text Box 94">
                <w:txbxContent>
                  <w:p w:rsidR="00CC6491" w:rsidRPr="002E6ADC" w:rsidRDefault="00CC6491" w:rsidP="009C1DE5">
                    <w:pPr>
                      <w:jc w:val="left"/>
                      <w:rPr>
                        <w:i/>
                        <w:iCs/>
                        <w:sz w:val="20"/>
                        <w:szCs w:val="20"/>
                      </w:rPr>
                    </w:pPr>
                    <w:r>
                      <w:rPr>
                        <w:i/>
                        <w:iCs/>
                        <w:sz w:val="20"/>
                        <w:szCs w:val="20"/>
                      </w:rPr>
                      <w:t>Q</w:t>
                    </w:r>
                    <w:r>
                      <w:rPr>
                        <w:i/>
                        <w:iCs/>
                        <w:sz w:val="20"/>
                        <w:szCs w:val="20"/>
                        <w:vertAlign w:val="subscript"/>
                      </w:rPr>
                      <w:t>L</w:t>
                    </w:r>
                  </w:p>
                </w:txbxContent>
              </v:textbox>
            </v:shape>
            <v:shape id="Text Box 95" o:spid="_x0000_s14511" type="#_x0000_t202" style="position:absolute;left:2031;top:3294;width:806;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4ZMMA&#10;AADcAAAADwAAAGRycy9kb3ducmV2LnhtbESP3YrCMBSE7xd8h3CEvVlsqvjbNYouKN768wCnzbEt&#10;25yUJtr69kYQvBxm5htmue5MJe7UuNKygmEUgyDOrC45V3A57wZzEM4ja6wsk4IHOVivel9LTLRt&#10;+Uj3k89FgLBLUEHhfZ1I6bKCDLrI1sTBu9rGoA+yyaVusA1wU8lRHE+lwZLDQoE1/RWU/Z9uRsH1&#10;0P5MFm2695fZcTzdYjlL7UOp7363+QXhqfOf8Lt90ArGkx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4ZMMAAADcAAAADwAAAAAAAAAAAAAAAACYAgAAZHJzL2Rv&#10;d25yZXYueG1sUEsFBgAAAAAEAAQA9QAAAIgDAAAAAA==&#10;" stroked="f">
              <v:textbox style="mso-next-textbox:#Text Box 95">
                <w:txbxContent>
                  <w:p w:rsidR="00CC6491" w:rsidRDefault="00CC6491" w:rsidP="009C1DE5">
                    <w:pPr>
                      <w:jc w:val="left"/>
                    </w:pPr>
                    <w:r w:rsidRPr="006E30F8">
                      <w:rPr>
                        <w:sz w:val="20"/>
                        <w:szCs w:val="20"/>
                      </w:rPr>
                      <w:t>Cost</w:t>
                    </w:r>
                    <w:r>
                      <w:t>s</w:t>
                    </w:r>
                  </w:p>
                </w:txbxContent>
              </v:textbox>
            </v:shape>
            <v:shape id="Text Box 96" o:spid="_x0000_s14512" type="#_x0000_t202" style="position:absolute;left:5546;top:6140;width:1319;height:44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d/8UA&#10;AADcAAAADwAAAGRycy9kb3ducmV2LnhtbESP3WrCQBSE7wXfYTmF3kjd2GrSpq5SBYu3pnmAY/aY&#10;hGbPhuw2P2/fFQq9HGbmG2a7H00jeupcbVnBahmBIC6srrlUkH+dnl5BOI+ssbFMCiZysN/NZ1tM&#10;tR34Qn3mSxEg7FJUUHnfplK6oiKDbmlb4uDdbGfQB9mVUnc4BLhp5HMUxdJgzWGhwpaOFRXf2Y9R&#10;cDsPi83bcP30eXJZxwesk6udlHp8GD/eQXga/X/4r33WCtabF7ifCUdA7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k13/xQAAANwAAAAPAAAAAAAAAAAAAAAAAJgCAABkcnMv&#10;ZG93bnJldi54bWxQSwUGAAAAAAQABAD1AAAAigMAAAAA&#10;" stroked="f">
              <v:textbox style="mso-next-textbox:#Text Box 96">
                <w:txbxContent>
                  <w:p w:rsidR="00CC6491" w:rsidRPr="00B4099C" w:rsidRDefault="00CC6491" w:rsidP="009C1DE5">
                    <w:pPr>
                      <w:jc w:val="left"/>
                      <w:rPr>
                        <w:sz w:val="20"/>
                        <w:szCs w:val="20"/>
                      </w:rPr>
                    </w:pPr>
                    <w:r>
                      <w:rPr>
                        <w:sz w:val="20"/>
                        <w:szCs w:val="20"/>
                      </w:rPr>
                      <w:t>S</w:t>
                    </w:r>
                    <w:r w:rsidRPr="00B4099C">
                      <w:rPr>
                        <w:sz w:val="20"/>
                        <w:szCs w:val="20"/>
                      </w:rPr>
                      <w:t>RMC</w:t>
                    </w:r>
                    <w:r>
                      <w:rPr>
                        <w:sz w:val="20"/>
                        <w:szCs w:val="20"/>
                        <w:vertAlign w:val="subscript"/>
                      </w:rPr>
                      <w:t>L</w:t>
                    </w:r>
                  </w:p>
                </w:txbxContent>
              </v:textbox>
            </v:shape>
            <v:shape id="Text Box 97" o:spid="_x0000_s14513" type="#_x0000_t202" style="position:absolute;left:5452;top:5750;width:1298;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rFi8QA&#10;AADcAAAADwAAAGRycy9kb3ducmV2LnhtbESP3WrCQBSE7wu+w3KE3hTdKDHR6Cq10JJbfx7gmD0m&#10;wezZkN2a5O27hUIvh5n5htkdBtOIJ3WutqxgMY9AEBdW11wquF4+Z2sQziNrbCyTgpEcHPaTlx1m&#10;2vZ8oufZlyJA2GWooPK+zaR0RUUG3dy2xMG7286gD7Irpe6wD3DTyGUUJdJgzWGhwpY+Kioe52+j&#10;4J73b6tNf/vy1/QUJ0es05sdlXqdDu9bEJ4G/x/+a+daQbyK4fdMOAJ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6xYvEAAAA3AAAAA8AAAAAAAAAAAAAAAAAmAIAAGRycy9k&#10;b3ducmV2LnhtbFBLBQYAAAAABAAEAPUAAACJAwAAAAA=&#10;" stroked="f">
              <v:textbox style="mso-next-textbox:#Text Box 97">
                <w:txbxContent>
                  <w:p w:rsidR="00CC6491" w:rsidRPr="006E30F8" w:rsidRDefault="00CC6491" w:rsidP="009C1DE5">
                    <w:pPr>
                      <w:jc w:val="left"/>
                      <w:rPr>
                        <w:sz w:val="20"/>
                        <w:szCs w:val="20"/>
                      </w:rPr>
                    </w:pPr>
                    <w:r>
                      <w:rPr>
                        <w:sz w:val="20"/>
                        <w:szCs w:val="20"/>
                      </w:rPr>
                      <w:t>SR</w:t>
                    </w:r>
                    <w:r w:rsidRPr="006E30F8">
                      <w:rPr>
                        <w:sz w:val="20"/>
                        <w:szCs w:val="20"/>
                      </w:rPr>
                      <w:t>ATC</w:t>
                    </w:r>
                    <w:r>
                      <w:rPr>
                        <w:sz w:val="20"/>
                        <w:szCs w:val="20"/>
                        <w:vertAlign w:val="subscript"/>
                      </w:rPr>
                      <w:t>L</w:t>
                    </w:r>
                  </w:p>
                </w:txbxContent>
              </v:textbox>
            </v:shape>
            <v:shape id="AutoShape 98" o:spid="_x0000_s14514" type="#_x0000_t32" style="position:absolute;left:2714;top:6954;width:362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UBlcYAAADcAAAADwAAAGRycy9kb3ducmV2LnhtbESPQWvCQBSE74X+h+UVvNWNoqXGbKQI&#10;SrF4qJagt0f2mYRm34bdVWN/fVco9DjMzDdMtuhNKy7kfGNZwWiYgCAurW64UvC1Xz2/gvABWWNr&#10;mRTcyMMif3zIMNX2yp902YVKRAj7FBXUIXSplL6syaAf2o44eifrDIYoXSW1w2uEm1aOk+RFGmw4&#10;LtTY0bKm8nt3NgoOH7NzcSu2tClGs80RnfE/+7VSg6f+bQ4iUB/+w3/td61gMp3C/Uw8A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kVAZXGAAAA3AAAAA8AAAAAAAAA&#10;AAAAAAAAoQIAAGRycy9kb3ducmV2LnhtbFBLBQYAAAAABAAEAPkAAACUAwAAAAA=&#10;">
              <v:stroke endarrow="block"/>
            </v:shape>
            <v:shape id="AutoShape 99" o:spid="_x0000_s14515" type="#_x0000_t32" style="position:absolute;left:2697;top:6298;width:2938;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P3VsQAAADcAAAADwAAAGRycy9kb3ducmV2LnhtbESPQWvCQBSE74X+h+UVvNWNRaOkriJS&#10;qdemufT22H1Notm3SXbV5N93C4LHYWa+YdbbwTbiSr2vHSuYTRMQxNqZmksFxffhdQXCB2SDjWNS&#10;MJKH7eb5aY2ZcTf+omseShEh7DNUUIXQZlJ6XZFFP3UtcfR+XW8xRNmX0vR4i3DbyLckSaXFmuNC&#10;hS3tK9Ln/GIVpON57LpDkS8/ivny9NPpTy1XSk1eht07iEBDeITv7aNRMF+k8H8mHgG5+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U/dWxAAAANwAAAAPAAAAAAAAAAAA&#10;AAAAAKECAABkcnMvZG93bnJldi54bWxQSwUGAAAAAAQABAD5AAAAkgMAAAAA&#10;" strokeweight="1pt">
              <v:stroke dashstyle="dash"/>
            </v:shape>
            <v:shape id="AutoShape 100" o:spid="_x0000_s14516" type="#_x0000_t32" style="position:absolute;left:3935;top:5300;width:17;height:164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9jz5scAAADcAAAADwAAAGRycy9kb3ducmV2LnhtbESPzW7CMBCE75X6DtZW4oKIAwotTTGI&#10;ohZ6LD+X3lbxNgm111FsILw9RkLqcTQz32im884acaLW144VDJMUBHHhdM2lgv3uczAB4QOyRuOY&#10;FFzIw3z2+DDFXLszb+i0DaWIEPY5KqhCaHIpfVGRRZ+4hjh6v661GKJsS6lbPEe4NXKUps/SYs1x&#10;ocKGlhUVf9ujVXBYDcf9zfqnOaxfy4/ifWGyy7dRqvfULd5ABOrCf/je/tIKsvEL3M7E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z2PPmxwAAANwAAAAPAAAAAAAA&#10;AAAAAAAAAKECAABkcnMvZG93bnJldi54bWxQSwUGAAAAAAQABAD5AAAAlQMAAAAA&#10;" strokeweight="1pt">
              <v:stroke dashstyle="1 1"/>
            </v:shape>
            <v:shape id="AutoShape 101" o:spid="_x0000_s14517" type="#_x0000_t32" style="position:absolute;left:2723;top:4365;width:2823;height:19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MCXMIAAADcAAAADwAAAGRycy9kb3ducmV2LnhtbERPy2oCMRTdC/2HcIVuRDOWWmQ0ylQQ&#10;asGFr/11cp0EJzfjJOr075tFocvDec+XnavFg9pgPSsYjzIQxKXXlisFx8N6OAURIrLG2jMp+KEA&#10;y8VLb4659k/e0WMfK5FCOOSowMTY5FKG0pDDMPINceIuvnUYE2wrqVt8pnBXy7cs+5AOLacGgw2t&#10;DJXX/d0p2G7Gn8XZ2M337ma3k3VR36vBSanXflfMQETq4r/4z/2lFbxP0tp0Jh0Bufg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MCXMIAAADcAAAADwAAAAAAAAAAAAAA&#10;AAChAgAAZHJzL2Rvd25yZXYueG1sUEsFBgAAAAAEAAQA+QAAAJADAAAAAA==&#10;"/>
            <v:shape id="AutoShape 102" o:spid="_x0000_s14518" type="#_x0000_t32" style="position:absolute;left:2723;top:4365;width:1458;height:237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Y+nx8YAAADcAAAADwAAAGRycy9kb3ducmV2LnhtbESPQWsCMRSE7wX/Q3iCl1KzSpV2a5RV&#10;EKrgQW3vr5vXTXDzsm6ibv+9KRR6HGbmG2a26FwtrtQG61nBaJiBIC69tlwp+Diun15AhIissfZM&#10;Cn4owGLee5hhrv2N93Q9xEokCIccFZgYm1zKUBpyGIa+IU7et28dxiTbSuoWbwnuajnOsql0aDkt&#10;GGxoZag8HS5OwW4zWhZfxm62+7PdTdZFfakeP5Ua9LviDUSkLv6H/9rvWsHz5BV+z6QjIO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WPp8fGAAAA3AAAAA8AAAAAAAAA&#10;AAAAAAAAoQIAAGRycy9kb3ducmV2LnhtbFBLBQYAAAAABAAEAPkAAACUAwAAAAA=&#10;">
              <v:stroke dashstyle="longDash"/>
            </v:shape>
            <v:shape id="Text Box 103" o:spid="_x0000_s14519" type="#_x0000_t202" style="position:absolute;left:7811;top:6971;width:993;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JNcEA&#10;AADcAAAADwAAAGRycy9kb3ducmV2LnhtbERPzWrCQBC+C77DMkIvohtLmmh0FVto8Wr0AcbsmASz&#10;syG7muTtu4dCjx/f/+4wmEa8qHO1ZQWrZQSCuLC65lLB9fK9WINwHlljY5kUjOTgsJ9Odphp2/OZ&#10;XrkvRQhhl6GCyvs2k9IVFRl0S9sSB+5uO4M+wK6UusM+hJtGvkdRIg3WHBoqbOmrouKRP42C+6mf&#10;f2z624+/puc4+cQ6vdlRqbfZcNyC8DT4f/Gf+6QVxEmYH86EI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8tCTXBAAAA3AAAAA8AAAAAAAAAAAAAAAAAmAIAAGRycy9kb3du&#10;cmV2LnhtbFBLBQYAAAAABAAEAPUAAACGAwAAAAA=&#10;" stroked="f">
              <v:textbox style="mso-next-textbox:#Text Box 103">
                <w:txbxContent>
                  <w:p w:rsidR="00CC6491" w:rsidRPr="002E6ADC" w:rsidRDefault="00CC6491" w:rsidP="009C1DE5">
                    <w:pPr>
                      <w:jc w:val="left"/>
                      <w:rPr>
                        <w:i/>
                        <w:iCs/>
                        <w:sz w:val="20"/>
                        <w:szCs w:val="20"/>
                      </w:rPr>
                    </w:pPr>
                    <w:r>
                      <w:rPr>
                        <w:i/>
                        <w:iCs/>
                        <w:sz w:val="20"/>
                        <w:szCs w:val="20"/>
                      </w:rPr>
                      <w:t>Q</w:t>
                    </w:r>
                    <w:r>
                      <w:rPr>
                        <w:i/>
                        <w:iCs/>
                        <w:sz w:val="20"/>
                        <w:szCs w:val="20"/>
                        <w:vertAlign w:val="subscript"/>
                      </w:rPr>
                      <w:t>F</w:t>
                    </w:r>
                  </w:p>
                </w:txbxContent>
              </v:textbox>
            </v:shape>
            <v:shape id="Freeform 104" o:spid="_x0000_s14520" style="position:absolute;left:2860;top:3686;width:2777;height:2257;visibility:visible;mso-wrap-style:square;v-text-anchor:top" coordsize="2777,22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du8MMA&#10;AADcAAAADwAAAGRycy9kb3ducmV2LnhtbESPzYoCMRCE78K+Q2jBm2ZcxJ9ZoyyLggcvOvsAvZN2&#10;MuukMyRRx7c3guCxqKqvqOW6s424kg+1YwXjUQaCuHS65krBb7EdzkGEiKyxcUwK7hRgvfroLTHX&#10;7sYHuh5jJRKEQ44KTIxtLmUoDVkMI9cSJ+/kvMWYpK+k9nhLcNvIzyybSos1pwWDLf0YKs/Hi1Ww&#10;l0af/jJdNNX8f7G4txv2s41Sg373/QUiUhff4Vd7pxVMpmN4nklHQK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udu8MMAAADcAAAADwAAAAAAAAAAAAAAAACYAgAAZHJzL2Rv&#10;d25yZXYueG1sUEsFBgAAAAAEAAQA9QAAAIgDAAAAAA==&#10;" path="m,c84,196,327,870,507,1175v180,305,309,493,576,657c1350,1996,1826,2089,2108,2160v282,71,471,83,669,97e" filled="f" strokecolor="red">
              <v:stroke dashstyle="dash"/>
              <v:path arrowok="t" o:connecttype="custom" o:connectlocs="0,0;321945,746125;687705,1163320;1338580,1371600;1763395,1433195" o:connectangles="0,0,0,0,0"/>
            </v:shape>
            <v:shape id="Text Box 105" o:spid="_x0000_s14521" type="#_x0000_t202" style="position:absolute;left:10620;top:3294;width:806;height:42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My2cMA&#10;AADcAAAADwAAAGRycy9kb3ducmV2LnhtbESP3YrCMBSE7xd8h3AEbxabKlq1GmVdcPHWnwc4bY5t&#10;sTkpTdbWt98IC14OM/MNs9n1phYPal1lWcEkikEQ51ZXXCi4Xg7jJQjnkTXWlknBkxzstoOPDaba&#10;dnyix9kXIkDYpaig9L5JpXR5SQZdZBvi4N1sa9AH2RZSt9gFuKnlNI4TabDisFBiQ98l5ffzr1Fw&#10;O3af81WX/fjr4jRL9lgtMvtUajTsv9YgPPX+Hf5vH7WCWTKF15lwBO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My2cMAAADcAAAADwAAAAAAAAAAAAAAAACYAgAAZHJzL2Rv&#10;d25yZXYueG1sUEsFBgAAAAAEAAQA9QAAAIgDAAAAAA==&#10;" stroked="f">
              <v:textbox style="mso-next-textbox:#Text Box 105">
                <w:txbxContent>
                  <w:p w:rsidR="00CC6491" w:rsidRDefault="00CC6491" w:rsidP="009C1DE5">
                    <w:pPr>
                      <w:jc w:val="left"/>
                    </w:pPr>
                    <w:r>
                      <w:rPr>
                        <w:sz w:val="20"/>
                        <w:szCs w:val="20"/>
                      </w:rPr>
                      <w:t>Price</w:t>
                    </w:r>
                  </w:p>
                </w:txbxContent>
              </v:textbox>
            </v:shape>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utoShape 106" o:spid="_x0000_s14522" type="#_x0000_t70" style="position:absolute;left:4221;top:5440;width:71;height:24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GLscA&#10;AADcAAAADwAAAGRycy9kb3ducmV2LnhtbESPT2vCQBTE74V+h+UVeil1Y/2DpK4ipQUPopjqwdsz&#10;+5oNZt+m2dXEb+8KhR6HmfkNM513thIXanzpWEG/l4Agzp0uuVCw+/56nYDwAVlj5ZgUXMnDfPb4&#10;MMVUu5a3dMlCISKEfYoKTAh1KqXPDVn0PVcTR+/HNRZDlE0hdYNthNtKviXJWFosOS4YrOnDUH7K&#10;zlbBxu/Pk992NfLHQ/+YfdJamt2LUs9P3eIdRKAu/If/2kutYDgewP1MP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Ri7HAAAA3AAAAA8AAAAAAAAAAAAAAAAAmAIAAGRy&#10;cy9kb3ducmV2LnhtbFBLBQYAAAAABAAEAPUAAACMAwAAAAA=&#10;" fillcolor="black"/>
            <v:shape id="AutoShape 107" o:spid="_x0000_s14523" type="#_x0000_t32" style="position:absolute;left:2714;top:3330;width:0;height:3624;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Ql8MMAAADcAAAADwAAAGRycy9kb3ducmV2LnhtbESPQWvCQBSE74X+h+UVvNVNi5USXYMN&#10;COKlqIX2+Mg+k8Xs25DdZuO/dwXB4zAz3zDLYrStGKj3xrGCt2kGgrhy2nCt4Oe4ef0E4QOyxtYx&#10;KbiQh2L1/LTEXLvIexoOoRYJwj5HBU0IXS6lrxqy6KeuI07eyfUWQ5J9LXWPMcFtK9+zbC4tGk4L&#10;DXZUNlSdD/9WgYnfZui2Zfza/f55HclcPpxRavIyrhcgAo3hEb63t1rBbD6D25l0BOTq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kJfDDAAAA3AAAAA8AAAAAAAAAAAAA&#10;AAAAoQIAAGRycy9kb3ducmV2LnhtbFBLBQYAAAAABAAEAPkAAACRAwAAAAA=&#10;">
              <v:stroke endarrow="block"/>
            </v:shape>
            <v:shape id="Text Box 108" o:spid="_x0000_s14524" type="#_x0000_t202" style="position:absolute;left:5313;top:3992;width:1552;height:10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qqrcQA&#10;AADcAAAADwAAAGRycy9kb3ducmV2LnhtbESP0WqDQBRE3wP9h+UW+hLq2mK0MdmEtNDiaxI/4Ore&#10;qNS9K+4mmr/vFgp9HGbmDLPdz6YXNxpdZ1nBSxSDIK6t7rhRUJ4/n99AOI+ssbdMCu7kYL97WGwx&#10;13biI91OvhEBwi5HBa33Qy6lq1sy6CI7EAfvYkeDPsixkXrEKcBNL1/jOJUGOw4LLQ700VL9fboa&#10;BZdiWq7WU/Xly+yYpO/YZZW9K/X0OB82IDzN/j/81y60giRdwe+ZcATk7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aqq3EAAAA3AAAAA8AAAAAAAAAAAAAAAAAmAIAAGRycy9k&#10;b3ducmV2LnhtbFBLBQYAAAAABAAEAPUAAACJAwAAAAA=&#10;" stroked="f">
              <v:textbox style="mso-next-textbox:#Text Box 108">
                <w:txbxContent>
                  <w:p w:rsidR="00CC6491" w:rsidRDefault="00CC6491" w:rsidP="009C1DE5">
                    <w:pPr>
                      <w:jc w:val="left"/>
                    </w:pPr>
                    <w:proofErr w:type="spellStart"/>
                    <w:r>
                      <w:rPr>
                        <w:sz w:val="20"/>
                        <w:szCs w:val="20"/>
                      </w:rPr>
                      <w:t>Cournot</w:t>
                    </w:r>
                    <w:proofErr w:type="spellEnd"/>
                    <w:r>
                      <w:rPr>
                        <w:sz w:val="20"/>
                        <w:szCs w:val="20"/>
                      </w:rPr>
                      <w:t xml:space="preserve"> </w:t>
                    </w:r>
                    <w:proofErr w:type="spellStart"/>
                    <w:r>
                      <w:rPr>
                        <w:sz w:val="20"/>
                        <w:szCs w:val="20"/>
                      </w:rPr>
                      <w:t>oligopolists</w:t>
                    </w:r>
                    <w:proofErr w:type="spellEnd"/>
                    <w:r>
                      <w:rPr>
                        <w:sz w:val="20"/>
                        <w:szCs w:val="20"/>
                      </w:rPr>
                      <w:t>’ profit</w:t>
                    </w:r>
                  </w:p>
                </w:txbxContent>
              </v:textbox>
            </v:shape>
            <v:shape id="AutoShape 109" o:spid="_x0000_s14525" type="#_x0000_t32" style="position:absolute;left:4274;top:5058;width:1815;height:53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oeHMQAAADcAAAADwAAAGRycy9kb3ducmV2LnhtbESPwWrDMBBE74X8g9hAb42c0JjgRjZJ&#10;oBB6CU0C6XGxtraotTKWajl/XxUKPQ4z84bZVpPtxEiDN44VLBcZCOLaacONguvl9WkDwgdkjZ1j&#10;UnAnD1U5e9hioV3kdxrPoREJwr5ABW0IfSGlr1uy6BeuJ07epxsshiSHRuoBY4LbTq6yLJcWDaeF&#10;Fns6tFR/nb+tAhNPZuyPh7h/u314Hcnc184o9Tifdi8gAk3hP/zXPmoFz3kOv2fSEZD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uh4cxAAAANwAAAAPAAAAAAAAAAAA&#10;AAAAAKECAABkcnMvZG93bnJldi54bWxQSwUGAAAAAAQABAD5AAAAkgMAAAAA&#10;">
              <v:stroke endarrow="block"/>
            </v:shape>
            <v:shape id="AutoShape 110" o:spid="_x0000_s14526" type="#_x0000_t32" style="position:absolute;left:2675;top:5411;width:10526;height:3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EPMsYAAADcAAAADwAAAGRycy9kb3ducmV2LnhtbESP3WrCQBSE74W+w3IKvRHdtPhHdBUp&#10;tIhKq9EHOGSPSWj2bMhuk/j2riB4OczMN8xi1ZlSNFS7wrKC92EEgji1uuBMwfn0NZiBcB5ZY2mZ&#10;FFzJwWr50ltgrG3LR2oSn4kAYRejgtz7KpbSpTkZdENbEQfvYmuDPsg6k7rGNsBNKT+iaCINFhwW&#10;cqzoM6f0L/k3CuTv93oc2V36s2+3s03Tbw7H5KLU22u3noPw1Pln+NHeaAWjyRTuZ8IRkM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BDzLGAAAA3AAAAA8AAAAAAAAA&#10;AAAAAAAAoQIAAGRycy9kb3ducmV2LnhtbFBLBQYAAAAABAAEAPkAAACUAwAAAAA=&#10;" strokeweight="1pt">
              <v:stroke dashstyle="1 1"/>
            </v:shape>
            <v:shape id="AutoShape 111" o:spid="_x0000_s14527" type="#_x0000_t32" style="position:absolute;left:4272;top:5416;width:1;height:15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utKcMAAADcAAAADwAAAGRycy9kb3ducmV2LnhtbERPu27CMBTdK/UfrIvEUoEDShGkGJRW&#10;bWHktXS7ii9JqH0dxS5J/r4eKnU8Ou/1trdG3Kn1tWMFs2kCgrhwuuZSweX8MVmC8AFZo3FMCgby&#10;sN08Pqwx067jI91PoRQxhH2GCqoQmkxKX1Rk0U9dQxy5q2sthgjbUuoWuxhujZwnyUJarDk2VNjQ&#10;W0XF9+nHKrh9zp6fjruv5rZble/Fa27S4WCUGo/6/AVEoD78i//ce60gXcS18Uw8An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wrrSnDAAAA3AAAAA8AAAAAAAAAAAAA&#10;AAAAoQIAAGRycy9kb3ducmV2LnhtbFBLBQYAAAAABAAEAPkAAACRAwAAAAA=&#10;" strokeweight="1pt">
              <v:stroke dashstyle="1 1"/>
            </v:shape>
            <v:shape id="AutoShape 112" o:spid="_x0000_s14528" type="#_x0000_t32" style="position:absolute;left:4662;top:5759;width:1;height:1159;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cIssYAAADcAAAADwAAAGRycy9kb3ducmV2LnhtbESPzW7CMBCE75X6DtZW4lIRB0QRpDEI&#10;UFs48nfpbRVvk1B7HcUuhLfHSJU4jmbmG00+76wRZ2p97VjBIElBEBdO11wqOB4++xMQPiBrNI5J&#10;wZU8zGfPTzlm2l14R+d9KEWEsM9QQRVCk0npi4os+sQ1xNH7ca3FEGVbSt3iJcKtkcM0HUuLNceF&#10;ChtaVVT87v+sgtPX4O11t/5uTutp+VEsF2Z03Rqlei/d4h1EoC48wv/tjVYwGk/hfiYe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NnCLLGAAAA3AAAAA8AAAAAAAAA&#10;AAAAAAAAoQIAAGRycy9kb3ducmV2LnhtbFBLBQYAAAAABAAEAPkAAACUAwAAAAA=&#10;" strokeweight="1pt">
              <v:stroke dashstyle="1 1"/>
            </v:shape>
            <v:shape id="AutoShape 113" o:spid="_x0000_s14529" type="#_x0000_t70" style="position:absolute;left:3878;top:5207;width:74;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pOhMQA&#10;AADcAAAADwAAAGRycy9kb3ducmV2LnhtbERPz2vCMBS+C/4P4Qm7jJk6nEpnlDEc7CATqzvs9mye&#10;TbF5qU209b83h4HHj+/3fNnZSlyp8aVjBaNhAoI4d7rkQsF+9/UyA+EDssbKMSm4kYflot+bY6pd&#10;y1u6ZqEQMYR9igpMCHUqpc8NWfRDVxNH7ugaiyHCppC6wTaG20q+JslEWiw5Nhis6dNQfsouVsHG&#10;/15m53b95g9/o0O2oh9p9s9KPQ26j3cQgbrwEP+7v7WC8TTOj2fiEZC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qToTEAAAA3AAAAA8AAAAAAAAAAAAAAAAAmAIAAGRycy9k&#10;b3ducmV2LnhtbFBLBQYAAAAABAAEAPUAAACJAwAAAAA=&#10;" fillcolor="black"/>
            <v:shape id="Text Box 114" o:spid="_x0000_s14530" type="#_x0000_t202" style="position:absolute;left:3877;top:3422;width:1436;height:6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6c8MA&#10;AADcAAAADwAAAGRycy9kb3ducmV2LnhtbESP3YrCMBSE74V9h3AWvJE1VdSutVHWBcVbfx7g2Jz+&#10;sM1JaaKtb78RBC+HmfmGSTe9qcWdWldZVjAZRyCIM6srLhRczruvbxDOI2usLZOCBznYrD8GKSba&#10;dnyk+8kXIkDYJaig9L5JpHRZSQbd2DbEwctta9AH2RZSt9gFuKnlNIoW0mDFYaHEhn5Lyv5ON6Mg&#10;P3Sj+bK77v0lPs4WW6ziq30oNfzsf1YgPPX+HX61D1rBLJ7A80w4AnL9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g6c8MAAADcAAAADwAAAAAAAAAAAAAAAACYAgAAZHJzL2Rv&#10;d25yZXYueG1sUEsFBgAAAAAEAAQA9QAAAIgDAAAAAA==&#10;" stroked="f">
              <v:textbox style="mso-next-textbox:#Text Box 114">
                <w:txbxContent>
                  <w:p w:rsidR="00CC6491" w:rsidRDefault="00CC6491" w:rsidP="009C1DE5">
                    <w:pPr>
                      <w:jc w:val="left"/>
                    </w:pPr>
                    <w:r>
                      <w:rPr>
                        <w:sz w:val="20"/>
                        <w:szCs w:val="20"/>
                      </w:rPr>
                      <w:t>Monopoly profit</w:t>
                    </w:r>
                  </w:p>
                </w:txbxContent>
              </v:textbox>
            </v:shape>
            <v:shape id="AutoShape 115" o:spid="_x0000_s14531" type="#_x0000_t32" style="position:absolute;left:3952;top:4173;width:598;height:123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iOwsMAAADcAAAADwAAAGRycy9kb3ducmV2LnhtbESPQWsCMRSE7wX/Q3iCt5pVbJXVKFYQ&#10;pJdSFfT42Dx3g5uXZZNu1n9vCoUeh5n5hllteluLjlpvHCuYjDMQxIXThksF59P+dQHCB2SNtWNS&#10;8CAPm/XgZYW5dpG/qTuGUiQI+xwVVCE0uZS+qMiiH7uGOHk311oMSbal1C3GBLe1nGbZu7RoOC1U&#10;2NCuouJ+/LEKTPwyXXPYxY/Py9XrSObx5oxSo2G/XYII1If/8F/7oBXM5l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YjsLDAAAA3AAAAA8AAAAAAAAAAAAA&#10;AAAAoQIAAGRycy9kb3ducmV2LnhtbFBLBQYAAAAABAAEAPkAAACRAwAAAAA=&#10;">
              <v:stroke endarrow="block"/>
            </v:shape>
            <v:shape id="AutoShape 116" o:spid="_x0000_s14532" type="#_x0000_t32" style="position:absolute;left:2711;top:5759;width:1963;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f7MYAAADcAAAADwAAAGRycy9kb3ducmV2LnhtbESP0WrCQBRE34X+w3ILvohu2lqV1FWk&#10;YJEq1cR+wCV7TUKzd0N2m6R/3xUEH4eZOcMs172pREuNKy0reJpEIIgzq0vOFXyft+MFCOeRNVaW&#10;ScEfOVivHgZLjLXtOKE29bkIEHYxKii8r2MpXVaQQTexNXHwLrYx6INscqkb7ALcVPI5imbSYMlh&#10;ocCa3gvKftJfo0AePzavkd1nX4fuc7FrR+0pSS9KDR/7zRsIT72/h2/tnVYwnb/A9Uw4AnL1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jn+zGAAAA3AAAAA8AAAAAAAAA&#10;AAAAAAAAoQIAAGRycy9kb3ducmV2LnhtbFBLBQYAAAAABAAEAPkAAACUAwAAAAA=&#10;" strokeweight="1pt">
              <v:stroke dashstyle="1 1"/>
            </v:shape>
            <v:shape id="AutoShape 117" o:spid="_x0000_s14533" type="#_x0000_t32" style="position:absolute;left:2675;top:5243;width:1242;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oHmMYAAADcAAAADwAAAGRycy9kb3ducmV2LnhtbESP3WrCQBSE7wt9h+UUeiO6abFVohsR&#10;QZFaWo0+wCF78kOzZ0N2TdK3dwtCL4eZ+YZZrgZTi45aV1lW8DKJQBBnVldcKLict+M5COeRNdaW&#10;ScEvOVgljw9LjLXt+URd6gsRIOxiVFB638RSuqwkg25iG+Lg5bY16INsC6lb7APc1PI1it6lwYrD&#10;QokNbUrKftKrUSC/d+u3yB6yr8/+Y77vRt3xlOZKPT8N6wUIT4P/D9/be61gOpvC35lwBGRy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KB5jGAAAA3AAAAA8AAAAAAAAA&#10;AAAAAAAAoQIAAGRycy9kb3ducmV2LnhtbFBLBQYAAAAABAAEAPkAAACUAwAAAAA=&#10;" strokeweight="1pt">
              <v:stroke dashstyle="1 1"/>
            </v:shape>
            <v:shape id="Text Box 118" o:spid="_x0000_s14534" type="#_x0000_t202" style="position:absolute;left:3569;top:7017;width:624;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8cMQA&#10;AADcAAAADwAAAGRycy9kb3ducmV2LnhtbESPzWrDMBCE74G+g9hCL6GWW5y4da2EtJDia34eYG2t&#10;f6i1MpYSO28fFQo9DjPzDZNvZ9OLK42us6zgJYpBEFdWd9woOJ/2z28gnEfW2FsmBTdysN08LHLM&#10;tJ34QNejb0SAsMtQQev9kEnpqpYMusgOxMGr7WjQBzk2Uo84Bbjp5Wscr6XBjsNCiwN9tVT9HC9G&#10;QV1My9X7VH77c3pI1p/YpaW9KfX0OO8+QHia/X/4r11oBUm6gt8z4Qj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DPHDEAAAA3AAAAA8AAAAAAAAAAAAAAAAAmAIAAGRycy9k&#10;b3ducmV2LnhtbFBLBQYAAAAABAAEAPUAAACJAwAAAAA=&#10;" stroked="f">
              <v:textbox style="mso-next-textbox:#Text Box 118">
                <w:txbxContent>
                  <w:p w:rsidR="00CC6491" w:rsidRPr="002E6ADC" w:rsidRDefault="00CC6491" w:rsidP="009C1DE5">
                    <w:pPr>
                      <w:jc w:val="left"/>
                      <w:rPr>
                        <w:i/>
                        <w:iCs/>
                        <w:sz w:val="20"/>
                        <w:szCs w:val="20"/>
                      </w:rPr>
                    </w:pPr>
                    <w:r>
                      <w:rPr>
                        <w:i/>
                        <w:iCs/>
                        <w:sz w:val="20"/>
                        <w:szCs w:val="20"/>
                      </w:rPr>
                      <w:t>Q</w:t>
                    </w:r>
                    <w:r>
                      <w:rPr>
                        <w:i/>
                        <w:iCs/>
                        <w:sz w:val="20"/>
                        <w:szCs w:val="20"/>
                        <w:vertAlign w:val="subscript"/>
                      </w:rPr>
                      <w:t>M</w:t>
                    </w:r>
                  </w:p>
                </w:txbxContent>
              </v:textbox>
            </v:shape>
            <v:shape id="Text Box 119" o:spid="_x0000_s14535" type="#_x0000_t202" style="position:absolute;left:4513;top:6997;width:544;height:4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GiB8QA&#10;AADcAAAADwAAAGRycy9kb3ducmV2LnhtbESP0WqDQBRE3wP9h+UW+hKatcVoa7IJbSHFV60fcOPe&#10;qMS9K+42mr/vBgp5HGbmDLPdz6YXFxpdZ1nByyoCQVxb3XGjoPo5PL+BcB5ZY2+ZFFzJwX73sNhi&#10;pu3EBV1K34gAYZehgtb7IZPS1S0ZdCs7EAfvZEeDPsixkXrEKcBNL1+jKJEGOw4LLQ701VJ9Ln+N&#10;glM+Ldfv0/HbV2kRJ5/YpUd7Verpcf7YgPA0+3v4v51rBXGawO1MOAJy9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RogfEAAAA3AAAAA8AAAAAAAAAAAAAAAAAmAIAAGRycy9k&#10;b3ducmV2LnhtbFBLBQYAAAAABAAEAPUAAACJAwAAAAA=&#10;" stroked="f">
              <v:textbox style="mso-next-textbox:#Text Box 119">
                <w:txbxContent>
                  <w:p w:rsidR="00CC6491" w:rsidRPr="002E6ADC" w:rsidRDefault="00CC6491" w:rsidP="009C1DE5">
                    <w:pPr>
                      <w:jc w:val="left"/>
                      <w:rPr>
                        <w:i/>
                        <w:iCs/>
                        <w:sz w:val="20"/>
                        <w:szCs w:val="20"/>
                      </w:rPr>
                    </w:pPr>
                    <w:r>
                      <w:rPr>
                        <w:i/>
                        <w:iCs/>
                        <w:sz w:val="20"/>
                        <w:szCs w:val="20"/>
                      </w:rPr>
                      <w:t>Q</w:t>
                    </w:r>
                    <w:r>
                      <w:rPr>
                        <w:i/>
                        <w:iCs/>
                        <w:sz w:val="20"/>
                        <w:szCs w:val="20"/>
                        <w:vertAlign w:val="subscript"/>
                      </w:rPr>
                      <w:t>C</w:t>
                    </w:r>
                  </w:p>
                </w:txbxContent>
              </v:textbox>
            </v:shape>
            <w10:wrap type="none"/>
            <w10:anchorlock/>
          </v:group>
        </w:pict>
      </w:r>
    </w:p>
    <w:p w:rsidR="009C1DE5" w:rsidRDefault="009C1DE5" w:rsidP="009C1DE5">
      <w:pPr>
        <w:autoSpaceDE w:val="0"/>
        <w:autoSpaceDN w:val="0"/>
        <w:adjustRightInd w:val="0"/>
        <w:spacing w:after="0" w:line="240" w:lineRule="auto"/>
        <w:jc w:val="center"/>
      </w:pPr>
    </w:p>
    <w:p w:rsidR="009C1DE5" w:rsidRDefault="009C1DE5" w:rsidP="009C1DE5">
      <w:pPr>
        <w:autoSpaceDE w:val="0"/>
        <w:autoSpaceDN w:val="0"/>
        <w:adjustRightInd w:val="0"/>
        <w:spacing w:after="0" w:line="240" w:lineRule="auto"/>
        <w:jc w:val="center"/>
      </w:pPr>
    </w:p>
    <w:p w:rsidR="009C1DE5" w:rsidRPr="002033B5" w:rsidRDefault="009C1DE5" w:rsidP="009C1DE5">
      <w:pPr>
        <w:autoSpaceDE w:val="0"/>
        <w:autoSpaceDN w:val="0"/>
        <w:adjustRightInd w:val="0"/>
        <w:spacing w:after="0" w:line="240" w:lineRule="auto"/>
        <w:jc w:val="center"/>
      </w:pPr>
      <w:r w:rsidRPr="002033B5">
        <w:t>Figu</w:t>
      </w:r>
      <w:r>
        <w:t>re</w:t>
      </w:r>
      <w:r w:rsidRPr="002033B5">
        <w:t xml:space="preserve"> </w:t>
      </w:r>
      <w:r w:rsidR="00563758">
        <w:t>2</w:t>
      </w:r>
    </w:p>
    <w:p w:rsidR="009C1DE5" w:rsidRDefault="009C1DE5" w:rsidP="009C1DE5">
      <w:pPr>
        <w:autoSpaceDE w:val="0"/>
        <w:autoSpaceDN w:val="0"/>
        <w:adjustRightInd w:val="0"/>
        <w:spacing w:after="0" w:line="240" w:lineRule="auto"/>
        <w:jc w:val="center"/>
      </w:pPr>
      <w:r w:rsidRPr="002033B5">
        <w:t xml:space="preserve">Strategic </w:t>
      </w:r>
      <w:proofErr w:type="spellStart"/>
      <w:r w:rsidRPr="002033B5">
        <w:t>behaviour</w:t>
      </w:r>
      <w:proofErr w:type="spellEnd"/>
      <w:r w:rsidRPr="002033B5">
        <w:t xml:space="preserve"> between </w:t>
      </w:r>
      <w:r>
        <w:t xml:space="preserve">(a) </w:t>
      </w:r>
      <w:proofErr w:type="spellStart"/>
      <w:r w:rsidR="0059761B">
        <w:t>Cournot</w:t>
      </w:r>
      <w:proofErr w:type="spellEnd"/>
      <w:r w:rsidR="0059761B">
        <w:t xml:space="preserve"> </w:t>
      </w:r>
      <w:proofErr w:type="spellStart"/>
      <w:r w:rsidR="0059761B">
        <w:t>oligopolists</w:t>
      </w:r>
      <w:proofErr w:type="spellEnd"/>
      <w:r w:rsidR="0059761B">
        <w:t xml:space="preserve"> </w:t>
      </w:r>
      <w:r w:rsidR="00DB1975">
        <w:t>price leaders</w:t>
      </w:r>
      <w:r>
        <w:t xml:space="preserve"> (</w:t>
      </w:r>
      <w:r w:rsidR="00DB1975">
        <w:rPr>
          <w:i/>
        </w:rPr>
        <w:t>L</w:t>
      </w:r>
      <w:r>
        <w:t>) using</w:t>
      </w:r>
      <w:r w:rsidRPr="002033B5">
        <w:t xml:space="preserve"> technologies</w:t>
      </w:r>
      <w:r>
        <w:t xml:space="preserve"> which have scale </w:t>
      </w:r>
      <w:r w:rsidRPr="00DB33F8">
        <w:rPr>
          <w:i/>
        </w:rPr>
        <w:t>e</w:t>
      </w:r>
      <w:r>
        <w:t>conomies</w:t>
      </w:r>
      <w:r w:rsidRPr="002033B5">
        <w:t xml:space="preserve">, </w:t>
      </w:r>
      <w:r>
        <w:t xml:space="preserve">and (b) </w:t>
      </w:r>
      <w:r w:rsidR="00DB1975">
        <w:t xml:space="preserve">perfectly competitive fringe suppliers </w:t>
      </w:r>
      <w:r>
        <w:t>(</w:t>
      </w:r>
      <w:r w:rsidR="00DB1975">
        <w:rPr>
          <w:i/>
        </w:rPr>
        <w:t>F</w:t>
      </w:r>
      <w:r>
        <w:t xml:space="preserve">) </w:t>
      </w:r>
      <w:r w:rsidR="00DB1975">
        <w:t xml:space="preserve">who </w:t>
      </w:r>
      <w:r>
        <w:t>us</w:t>
      </w:r>
      <w:r w:rsidR="00DB1975">
        <w:t>e</w:t>
      </w:r>
      <w:r w:rsidRPr="002033B5">
        <w:t xml:space="preserve"> technologies</w:t>
      </w:r>
      <w:r>
        <w:t xml:space="preserve"> which have </w:t>
      </w:r>
      <w:r w:rsidR="00DB1975">
        <w:t>no</w:t>
      </w:r>
      <w:r>
        <w:t xml:space="preserve"> scale economies,</w:t>
      </w:r>
      <w:r w:rsidRPr="002033B5">
        <w:t xml:space="preserve"> </w:t>
      </w:r>
      <w:r>
        <w:t xml:space="preserve">in (c) the </w:t>
      </w:r>
      <w:r w:rsidRPr="002033B5">
        <w:t>electricity market (graphs are not to scale).</w:t>
      </w:r>
    </w:p>
    <w:p w:rsidR="00897849" w:rsidRDefault="00897849" w:rsidP="008B29EF">
      <w:pPr>
        <w:spacing w:before="120" w:after="120" w:line="360" w:lineRule="auto"/>
      </w:pPr>
    </w:p>
    <w:p w:rsidR="009C1DE5" w:rsidRDefault="009C1DE5" w:rsidP="009C1DE5">
      <w:pPr>
        <w:autoSpaceDE w:val="0"/>
        <w:autoSpaceDN w:val="0"/>
        <w:adjustRightInd w:val="0"/>
        <w:spacing w:after="0" w:line="240" w:lineRule="auto"/>
        <w:sectPr w:rsidR="009C1DE5" w:rsidSect="00436491">
          <w:pgSz w:w="15840" w:h="12240" w:orient="landscape"/>
          <w:pgMar w:top="1440" w:right="1440" w:bottom="1440" w:left="1440" w:header="708" w:footer="708" w:gutter="0"/>
          <w:cols w:space="708"/>
          <w:docGrid w:linePitch="360"/>
        </w:sectPr>
      </w:pPr>
    </w:p>
    <w:p w:rsidR="009950FD" w:rsidRDefault="009950FD" w:rsidP="009950FD">
      <w:pPr>
        <w:numPr>
          <w:ilvl w:val="0"/>
          <w:numId w:val="1"/>
        </w:numPr>
        <w:autoSpaceDE w:val="0"/>
        <w:autoSpaceDN w:val="0"/>
        <w:adjustRightInd w:val="0"/>
        <w:spacing w:before="240" w:after="0" w:line="360" w:lineRule="auto"/>
        <w:ind w:left="567" w:hanging="567"/>
        <w:jc w:val="left"/>
        <w:rPr>
          <w:b/>
          <w:bCs/>
        </w:rPr>
      </w:pPr>
      <w:r>
        <w:rPr>
          <w:b/>
          <w:bCs/>
        </w:rPr>
        <w:lastRenderedPageBreak/>
        <w:t>Application to the case of Japan</w:t>
      </w:r>
    </w:p>
    <w:p w:rsidR="002E16CB" w:rsidRDefault="009950FD" w:rsidP="007442DB">
      <w:pPr>
        <w:spacing w:before="120" w:after="120" w:line="360" w:lineRule="auto"/>
      </w:pPr>
      <w:r w:rsidRPr="00537094">
        <w:t xml:space="preserve">Electricity </w:t>
      </w:r>
      <w:r w:rsidR="00FE74D6">
        <w:t>in Japan is produced from coal, oil, gas, nuclear energy</w:t>
      </w:r>
      <w:r w:rsidR="0047375C">
        <w:t xml:space="preserve"> and hydro power</w:t>
      </w:r>
      <w:r w:rsidR="00FE74D6">
        <w:rPr>
          <w:rStyle w:val="FootnoteReference"/>
        </w:rPr>
        <w:footnoteReference w:id="13"/>
      </w:r>
      <w:r w:rsidR="00FE74D6">
        <w:t xml:space="preserve"> with some small proportions from renewable energy sources. To decompose the electricity sector in the GTAP v8 data base </w:t>
      </w:r>
      <w:r w:rsidR="006776E8">
        <w:t xml:space="preserve">(Narayanan and </w:t>
      </w:r>
      <w:proofErr w:type="spellStart"/>
      <w:r w:rsidR="006776E8" w:rsidRPr="005D5177">
        <w:t>Walmsley</w:t>
      </w:r>
      <w:proofErr w:type="spellEnd"/>
      <w:r w:rsidR="006776E8" w:rsidRPr="005D5177">
        <w:t>, 2008</w:t>
      </w:r>
      <w:r w:rsidR="006776E8">
        <w:t xml:space="preserve">) </w:t>
      </w:r>
      <w:r w:rsidR="00FE74D6">
        <w:t xml:space="preserve">into these different technologies, we use a methodology which can be described as follows. </w:t>
      </w:r>
      <w:r w:rsidR="0047375C">
        <w:t xml:space="preserve">First </w:t>
      </w:r>
      <w:r w:rsidR="006776E8">
        <w:t xml:space="preserve">we </w:t>
      </w:r>
      <w:r w:rsidR="0047375C">
        <w:t xml:space="preserve">define the </w:t>
      </w:r>
      <w:r w:rsidR="006776E8">
        <w:t xml:space="preserve">set of </w:t>
      </w:r>
      <w:r w:rsidR="0047375C">
        <w:t xml:space="preserve">electricity generation technologies as consisting of </w:t>
      </w:r>
      <w:r w:rsidR="006776E8">
        <w:t xml:space="preserve">those using coal, oil, gas, nuclear energy, hydro power, onshore wind, solar energy, biomass, waste, and other renewable energy (mainly geothermal). To facilitate a study into future usage of carbon capture and storage (CCS) technologies, we also add coal CCS, oil CCS, and gas CCS to the set of technologies by taking away 1% of the shares from coal, oil, and gas respectively and giving these to the CCS counterpart. Next to distribute the values of the inputs </w:t>
      </w:r>
      <w:r w:rsidR="00210156">
        <w:t>into the electricity sector in the GTAP data base to these technologies, we make the following assumptions.</w:t>
      </w:r>
    </w:p>
    <w:p w:rsidR="00FE74D6" w:rsidRDefault="002E16CB" w:rsidP="002E16CB">
      <w:pPr>
        <w:pStyle w:val="ListParagraph"/>
        <w:numPr>
          <w:ilvl w:val="0"/>
          <w:numId w:val="20"/>
        </w:numPr>
        <w:spacing w:before="120" w:after="120" w:line="360" w:lineRule="auto"/>
      </w:pPr>
      <w:r w:rsidRPr="005E4677">
        <w:rPr>
          <w:i/>
        </w:rPr>
        <w:t>Fuel inputs</w:t>
      </w:r>
      <w:r>
        <w:t>:</w:t>
      </w:r>
      <w:r w:rsidR="00210156">
        <w:t xml:space="preserve"> all coal inputs </w:t>
      </w:r>
      <w:r>
        <w:t xml:space="preserve">are to </w:t>
      </w:r>
      <w:r w:rsidR="00210156">
        <w:t>go into the coal and coal CCS technologies (in the proportion 1/1.2 (i.e. assuming CCS technologies use 20% more fuels than non-CCS counterpart)</w:t>
      </w:r>
      <w:r w:rsidR="004A010D">
        <w:rPr>
          <w:rStyle w:val="FootnoteReference"/>
        </w:rPr>
        <w:footnoteReference w:id="14"/>
      </w:r>
      <w:r w:rsidR="00210156">
        <w:t>; similarly for gas</w:t>
      </w:r>
      <w:r>
        <w:t>:</w:t>
      </w:r>
      <w:r w:rsidR="00210156">
        <w:t xml:space="preserve"> into gas </w:t>
      </w:r>
      <w:r>
        <w:t xml:space="preserve">and gas CCS </w:t>
      </w:r>
      <w:r w:rsidR="00210156">
        <w:t>technolog</w:t>
      </w:r>
      <w:r>
        <w:t>ies</w:t>
      </w:r>
      <w:r w:rsidR="00210156">
        <w:t xml:space="preserve">, oil into oil </w:t>
      </w:r>
      <w:r>
        <w:t xml:space="preserve">and oil CCS </w:t>
      </w:r>
      <w:r w:rsidR="00210156">
        <w:t>technolog</w:t>
      </w:r>
      <w:r>
        <w:t>ies</w:t>
      </w:r>
      <w:r w:rsidR="006776E8">
        <w:t>.</w:t>
      </w:r>
      <w:r w:rsidR="003D3856">
        <w:t xml:space="preserve"> The distribution of ‘</w:t>
      </w:r>
      <w:proofErr w:type="spellStart"/>
      <w:r w:rsidR="003D3856">
        <w:t>p_c</w:t>
      </w:r>
      <w:proofErr w:type="spellEnd"/>
      <w:r w:rsidR="003D3856">
        <w:t xml:space="preserve">’ input requires some </w:t>
      </w:r>
      <w:r w:rsidR="000701F5">
        <w:t>consideration</w:t>
      </w:r>
      <w:r w:rsidR="003D3856">
        <w:t>: GTAP v8 data base describe ‘</w:t>
      </w:r>
      <w:proofErr w:type="spellStart"/>
      <w:r w:rsidR="003D3856">
        <w:t>p_c</w:t>
      </w:r>
      <w:proofErr w:type="spellEnd"/>
      <w:r w:rsidR="003D3856">
        <w:t>’ as “p</w:t>
      </w:r>
      <w:r w:rsidR="003D3856" w:rsidRPr="003D3856">
        <w:t xml:space="preserve">etroleum &amp; </w:t>
      </w:r>
      <w:r w:rsidR="003D3856">
        <w:t>c</w:t>
      </w:r>
      <w:r w:rsidR="003D3856" w:rsidRPr="003D3856">
        <w:t>oke: coke oven products, refined petroleum products, processing of nuclear fuel</w:t>
      </w:r>
      <w:r w:rsidR="003D3856">
        <w:t xml:space="preserve">”, this means part of the </w:t>
      </w:r>
      <w:proofErr w:type="spellStart"/>
      <w:r w:rsidR="003D3856">
        <w:t>p_c</w:t>
      </w:r>
      <w:proofErr w:type="spellEnd"/>
      <w:r w:rsidR="003D3856">
        <w:t xml:space="preserve"> input </w:t>
      </w:r>
      <w:r>
        <w:t xml:space="preserve">should </w:t>
      </w:r>
      <w:r w:rsidR="003D3856">
        <w:t xml:space="preserve">go into the nuclear technology. To determine </w:t>
      </w:r>
      <w:r w:rsidR="000701F5">
        <w:t xml:space="preserve">how much of this </w:t>
      </w:r>
      <w:proofErr w:type="gramStart"/>
      <w:r>
        <w:t>is fuel input into the nuclear technology</w:t>
      </w:r>
      <w:proofErr w:type="gramEnd"/>
      <w:r>
        <w:t xml:space="preserve">, the </w:t>
      </w:r>
      <w:proofErr w:type="spellStart"/>
      <w:r>
        <w:t>p_c</w:t>
      </w:r>
      <w:proofErr w:type="spellEnd"/>
      <w:r>
        <w:t xml:space="preserve"> input is first distributed to the ‘oil’ technology, so that, together with oil input, this makes up about 51% of the value of the oil technology output.</w:t>
      </w:r>
      <w:r>
        <w:rPr>
          <w:rStyle w:val="FootnoteReference"/>
        </w:rPr>
        <w:footnoteReference w:id="15"/>
      </w:r>
      <w:r>
        <w:t xml:space="preserve"> The rest then </w:t>
      </w:r>
      <w:r w:rsidR="000701F5">
        <w:t xml:space="preserve">go into </w:t>
      </w:r>
      <w:r>
        <w:t xml:space="preserve">the nuclear technology. </w:t>
      </w:r>
      <w:r w:rsidR="004E57B9">
        <w:t xml:space="preserve">This makes up about 8.9% of the value of the nuclear technology output. The ratio of </w:t>
      </w:r>
      <w:r>
        <w:t>fuel</w:t>
      </w:r>
      <w:r w:rsidR="004E57B9">
        <w:t xml:space="preserve"> to </w:t>
      </w:r>
      <w:r>
        <w:t xml:space="preserve">output </w:t>
      </w:r>
      <w:r w:rsidR="004E57B9">
        <w:t xml:space="preserve">value for the </w:t>
      </w:r>
      <w:r>
        <w:t xml:space="preserve">nuclear technology </w:t>
      </w:r>
      <w:r w:rsidR="004E57B9">
        <w:t xml:space="preserve">in Japan in 2007, however, is </w:t>
      </w:r>
      <w:r>
        <w:t>estimated to be about 21%</w:t>
      </w:r>
      <w:r w:rsidR="004E57B9">
        <w:t xml:space="preserve"> which is much greater than </w:t>
      </w:r>
      <w:r>
        <w:t xml:space="preserve">8.9%, </w:t>
      </w:r>
      <w:r w:rsidR="004E57B9">
        <w:t xml:space="preserve">therefore, </w:t>
      </w:r>
      <w:r>
        <w:t>some other fuel must go into the nuclear technology to make</w:t>
      </w:r>
      <w:r w:rsidR="004E57B9">
        <w:t xml:space="preserve"> up for this total. In</w:t>
      </w:r>
      <w:r>
        <w:t xml:space="preserve"> theory, uranium </w:t>
      </w:r>
      <w:r w:rsidR="004E57B9">
        <w:t xml:space="preserve">must be </w:t>
      </w:r>
      <w:r>
        <w:t xml:space="preserve">the main source of fuel input into the nuclear technology, but in the GTAP data base, there is no explicit ‘uranium’ commodity. The ‘mining’ </w:t>
      </w:r>
      <w:r w:rsidR="002D77AC">
        <w:t xml:space="preserve">and </w:t>
      </w:r>
      <w:r w:rsidR="002D77AC">
        <w:lastRenderedPageBreak/>
        <w:t xml:space="preserve">‘minerals’ </w:t>
      </w:r>
      <w:r w:rsidR="004E57B9">
        <w:t>commodit</w:t>
      </w:r>
      <w:r w:rsidR="002D77AC">
        <w:t>ies</w:t>
      </w:r>
      <w:r w:rsidR="004E57B9">
        <w:t xml:space="preserve"> which would have </w:t>
      </w:r>
      <w:r>
        <w:t>include</w:t>
      </w:r>
      <w:r w:rsidR="004E57B9">
        <w:t>d</w:t>
      </w:r>
      <w:r>
        <w:t xml:space="preserve"> ‘uranium’</w:t>
      </w:r>
      <w:r w:rsidR="004E57B9">
        <w:t xml:space="preserve"> ha</w:t>
      </w:r>
      <w:r w:rsidR="002D77AC">
        <w:t>ve</w:t>
      </w:r>
      <w:r w:rsidR="004E57B9">
        <w:t xml:space="preserve"> a </w:t>
      </w:r>
      <w:r w:rsidR="002D77AC">
        <w:t xml:space="preserve">negligible value relative to the value </w:t>
      </w:r>
      <w:r w:rsidR="004E57B9">
        <w:t xml:space="preserve">of </w:t>
      </w:r>
      <w:r w:rsidR="002D77AC">
        <w:t xml:space="preserve">electricity output </w:t>
      </w:r>
      <w:r w:rsidR="004E57B9">
        <w:t>of the nuclear technology</w:t>
      </w:r>
      <w:r w:rsidR="002D77AC">
        <w:t xml:space="preserve"> </w:t>
      </w:r>
      <w:r w:rsidR="004E57B9">
        <w:t xml:space="preserve">hence this </w:t>
      </w:r>
      <w:r w:rsidR="002D77AC">
        <w:t xml:space="preserve">cannot be sufficient to account for the </w:t>
      </w:r>
      <w:r w:rsidR="004E57B9">
        <w:t xml:space="preserve">main fuel input into the nuclear technology. Instead, </w:t>
      </w:r>
      <w:r w:rsidR="002D77AC">
        <w:t xml:space="preserve">therefore, </w:t>
      </w:r>
      <w:r w:rsidR="004E57B9">
        <w:t xml:space="preserve">in addition to </w:t>
      </w:r>
      <w:r w:rsidR="002D77AC">
        <w:t xml:space="preserve">the </w:t>
      </w:r>
      <w:proofErr w:type="spellStart"/>
      <w:r w:rsidR="004E57B9">
        <w:t>p_c</w:t>
      </w:r>
      <w:proofErr w:type="spellEnd"/>
      <w:r w:rsidR="004E57B9">
        <w:t xml:space="preserve"> input, </w:t>
      </w:r>
      <w:r w:rsidR="002D77AC">
        <w:t xml:space="preserve">we use part of the </w:t>
      </w:r>
      <w:r w:rsidR="004E57B9">
        <w:t xml:space="preserve">electricity input into electricity sector </w:t>
      </w:r>
      <w:r w:rsidR="002D77AC">
        <w:t xml:space="preserve">as a whole to </w:t>
      </w:r>
      <w:r w:rsidR="004E57B9">
        <w:t>represent some of th</w:t>
      </w:r>
      <w:r w:rsidR="002D77AC">
        <w:t>e</w:t>
      </w:r>
      <w:r w:rsidR="004E57B9">
        <w:t xml:space="preserve"> fuel input into the nuclear technology, to make up to </w:t>
      </w:r>
      <w:r w:rsidR="002D77AC">
        <w:t xml:space="preserve">the </w:t>
      </w:r>
      <w:r w:rsidR="004E57B9">
        <w:t xml:space="preserve">total value of 21%. The rest of the electricity input can then be </w:t>
      </w:r>
      <w:r>
        <w:t xml:space="preserve">distributed to all other technologies in accordance with the value of their outputs. </w:t>
      </w:r>
    </w:p>
    <w:p w:rsidR="004E57B9" w:rsidRDefault="005E4677" w:rsidP="002E16CB">
      <w:pPr>
        <w:pStyle w:val="ListParagraph"/>
        <w:numPr>
          <w:ilvl w:val="0"/>
          <w:numId w:val="20"/>
        </w:numPr>
        <w:spacing w:before="120" w:after="120" w:line="360" w:lineRule="auto"/>
      </w:pPr>
      <w:r w:rsidRPr="005E4677">
        <w:rPr>
          <w:i/>
        </w:rPr>
        <w:t xml:space="preserve">Capital </w:t>
      </w:r>
      <w:r w:rsidR="004E57B9" w:rsidRPr="005E4677">
        <w:rPr>
          <w:i/>
        </w:rPr>
        <w:t>input</w:t>
      </w:r>
      <w:r>
        <w:rPr>
          <w:i/>
        </w:rPr>
        <w:t>s</w:t>
      </w:r>
      <w:r w:rsidR="004E57B9">
        <w:t xml:space="preserve">: </w:t>
      </w:r>
      <w:r w:rsidR="007E0AF3">
        <w:t>we use the EIA (2013) information on ‘overnight capital cost</w:t>
      </w:r>
      <w:r w:rsidR="00D86D6B">
        <w:t>’</w:t>
      </w:r>
      <w:r w:rsidR="007E0AF3">
        <w:t xml:space="preserve"> ($/kW)</w:t>
      </w:r>
      <w:r w:rsidR="00D86D6B">
        <w:t xml:space="preserve"> – see Table 1, </w:t>
      </w:r>
      <w:r w:rsidR="007E0AF3">
        <w:t>and also information on installed capacities (Million kW) for electricity generation by various technologies in Japan</w:t>
      </w:r>
      <w:r w:rsidR="007E0AF3">
        <w:rPr>
          <w:rStyle w:val="FootnoteReference"/>
        </w:rPr>
        <w:footnoteReference w:id="16"/>
      </w:r>
      <w:r w:rsidR="007E0AF3">
        <w:t xml:space="preserve"> to estimate the values of the capital </w:t>
      </w:r>
      <w:r w:rsidR="007E0AF3">
        <w:rPr>
          <w:i/>
        </w:rPr>
        <w:t xml:space="preserve">stock </w:t>
      </w:r>
      <w:r w:rsidR="007E0AF3">
        <w:t xml:space="preserve">($ million) of these technologies. The ‘capital’ value input in the GTAP database, however, refers to capital </w:t>
      </w:r>
      <w:r w:rsidR="007E0AF3">
        <w:rPr>
          <w:i/>
        </w:rPr>
        <w:t>services</w:t>
      </w:r>
      <w:r w:rsidR="007E0AF3">
        <w:t xml:space="preserve"> rather than capital stock, hence, </w:t>
      </w:r>
      <w:r>
        <w:t>we use the proportion of capital stock in various technologies (as estimated from the EIA capital stock values) only to distribute the total value of GTAP capital service input into the electricity sector to various technologies (assuming that these service flows are proportional to the value of the capital stock).</w:t>
      </w:r>
    </w:p>
    <w:p w:rsidR="005E4677" w:rsidRDefault="005E4677" w:rsidP="002E16CB">
      <w:pPr>
        <w:pStyle w:val="ListParagraph"/>
        <w:numPr>
          <w:ilvl w:val="0"/>
          <w:numId w:val="20"/>
        </w:numPr>
        <w:spacing w:before="120" w:after="120" w:line="360" w:lineRule="auto"/>
      </w:pPr>
      <w:proofErr w:type="spellStart"/>
      <w:r w:rsidRPr="005E4677">
        <w:rPr>
          <w:i/>
        </w:rPr>
        <w:t>Labour</w:t>
      </w:r>
      <w:proofErr w:type="spellEnd"/>
      <w:r w:rsidRPr="005E4677">
        <w:rPr>
          <w:i/>
        </w:rPr>
        <w:t xml:space="preserve"> inputs</w:t>
      </w:r>
      <w:r>
        <w:t>: the EIA (2013) information on fixed ($/kW-yr) and variable ($/</w:t>
      </w:r>
      <w:proofErr w:type="spellStart"/>
      <w:r>
        <w:t>MWh</w:t>
      </w:r>
      <w:proofErr w:type="spellEnd"/>
      <w:r>
        <w:t>) O&amp;M (operation and maintenance) costs</w:t>
      </w:r>
      <w:r w:rsidR="00035F88">
        <w:t>– see Table 1,</w:t>
      </w:r>
      <w:r w:rsidR="00125BFD">
        <w:t xml:space="preserve"> together with the information on production outputs (billion kWh) of various technologies can be used to estimate the total value of O&amp;M costs for each technology. Assuming that these costs consist mainly of </w:t>
      </w:r>
      <w:proofErr w:type="spellStart"/>
      <w:r w:rsidR="00125BFD">
        <w:t>labour</w:t>
      </w:r>
      <w:proofErr w:type="spellEnd"/>
      <w:r w:rsidR="00125BFD">
        <w:t xml:space="preserve"> (and some material costs) the relative proportions of these costs in various technologies can then be used to distribute the total GTAP value of </w:t>
      </w:r>
      <w:proofErr w:type="spellStart"/>
      <w:r w:rsidR="00125BFD">
        <w:t>labour</w:t>
      </w:r>
      <w:proofErr w:type="spellEnd"/>
      <w:r w:rsidR="00125BFD">
        <w:t xml:space="preserve"> inputs into the electricity sector to these various technologies.</w:t>
      </w:r>
    </w:p>
    <w:p w:rsidR="00125BFD" w:rsidRDefault="00125BFD" w:rsidP="002E16CB">
      <w:pPr>
        <w:pStyle w:val="ListParagraph"/>
        <w:numPr>
          <w:ilvl w:val="0"/>
          <w:numId w:val="20"/>
        </w:numPr>
        <w:spacing w:before="120" w:after="120" w:line="360" w:lineRule="auto"/>
      </w:pPr>
      <w:r>
        <w:rPr>
          <w:i/>
        </w:rPr>
        <w:t xml:space="preserve">Intermediate material </w:t>
      </w:r>
      <w:r w:rsidRPr="005E4677">
        <w:rPr>
          <w:i/>
        </w:rPr>
        <w:t>inputs</w:t>
      </w:r>
      <w:r>
        <w:t>: these material inputs can be said to be associated with activities (such as transmission and distribution of electricity) which are not technology specific, as well as with the generation activities which are technology specific. However, we can assume that all these inputs belong to the various technologies in proportion to the values of their outputs hence t</w:t>
      </w:r>
      <w:r w:rsidR="002063FD">
        <w:t xml:space="preserve">he distribution of total value of the GTAP </w:t>
      </w:r>
      <w:r w:rsidR="002063FD">
        <w:lastRenderedPageBreak/>
        <w:t>intermediate material inputs into the various technologies are also in proportion to these output values.</w:t>
      </w:r>
    </w:p>
    <w:p w:rsidR="00D274F3" w:rsidRPr="00D274F3" w:rsidRDefault="00D274F3" w:rsidP="002E16CB">
      <w:pPr>
        <w:pStyle w:val="ListParagraph"/>
        <w:numPr>
          <w:ilvl w:val="0"/>
          <w:numId w:val="20"/>
        </w:numPr>
        <w:spacing w:before="120" w:after="120" w:line="360" w:lineRule="auto"/>
        <w:rPr>
          <w:i/>
        </w:rPr>
      </w:pPr>
      <w:r w:rsidRPr="00D274F3">
        <w:rPr>
          <w:i/>
        </w:rPr>
        <w:t>Relative costs or supply prices:</w:t>
      </w:r>
      <w:r>
        <w:t xml:space="preserve"> the aggregation of all the values of intermediate inputs, fuel inputs, capital and </w:t>
      </w:r>
      <w:proofErr w:type="spellStart"/>
      <w:r>
        <w:t>labour</w:t>
      </w:r>
      <w:proofErr w:type="spellEnd"/>
      <w:r>
        <w:t xml:space="preserve"> inputs into the various technologies make up the ‘supply price’ for each technology. These are shown in Table </w:t>
      </w:r>
      <w:r w:rsidR="006204AA">
        <w:t>2</w:t>
      </w:r>
      <w:r>
        <w:t>, together with the output quantities of each technology.</w:t>
      </w:r>
    </w:p>
    <w:p w:rsidR="009D4A8E" w:rsidRDefault="00FE74D6" w:rsidP="007442DB">
      <w:pPr>
        <w:spacing w:before="120" w:after="120" w:line="360" w:lineRule="auto"/>
      </w:pPr>
      <w:r>
        <w:t xml:space="preserve">Having decomposed the electricity sector </w:t>
      </w:r>
      <w:r w:rsidR="00D274F3">
        <w:t xml:space="preserve">data </w:t>
      </w:r>
      <w:r>
        <w:t>for Japan</w:t>
      </w:r>
      <w:r w:rsidR="00D274F3">
        <w:t xml:space="preserve"> into various technologies</w:t>
      </w:r>
      <w:r>
        <w:t>,</w:t>
      </w:r>
      <w:r>
        <w:rPr>
          <w:rStyle w:val="FootnoteReference"/>
        </w:rPr>
        <w:footnoteReference w:id="17"/>
      </w:r>
      <w:r>
        <w:t xml:space="preserve"> </w:t>
      </w:r>
      <w:r w:rsidR="00D274F3">
        <w:t>the next step is to modify an existing CGE model</w:t>
      </w:r>
      <w:r w:rsidR="007F112B">
        <w:rPr>
          <w:rStyle w:val="FootnoteReference"/>
        </w:rPr>
        <w:footnoteReference w:id="18"/>
      </w:r>
      <w:r w:rsidR="007F112B">
        <w:t xml:space="preserve"> </w:t>
      </w:r>
      <w:r w:rsidR="00D274F3">
        <w:t xml:space="preserve">to allow the supply </w:t>
      </w:r>
      <w:r w:rsidR="007F112B">
        <w:t xml:space="preserve">of </w:t>
      </w:r>
      <w:r w:rsidR="00D274F3">
        <w:t xml:space="preserve">electricity </w:t>
      </w:r>
      <w:r w:rsidR="007F112B">
        <w:t>in the model to be represented by combination of different suppliers (‘players’) using different types of technologies rather than by a single supplier using a single aggregate</w:t>
      </w:r>
      <w:r w:rsidR="00005044">
        <w:t>.</w:t>
      </w:r>
      <w:r w:rsidR="007F112B">
        <w:t xml:space="preserve"> The modification of the CGE model follows the theoretical description in the previous section</w:t>
      </w:r>
      <w:r w:rsidR="00005044">
        <w:t>. F</w:t>
      </w:r>
      <w:r w:rsidR="007F112B">
        <w:t xml:space="preserve">irst, we define the set of </w:t>
      </w:r>
      <w:r w:rsidR="00005044">
        <w:t>‘</w:t>
      </w:r>
      <w:r w:rsidR="007F112B">
        <w:t>competitive fringe suppliers</w:t>
      </w:r>
      <w:r w:rsidR="00005044">
        <w:t>’</w:t>
      </w:r>
      <w:r w:rsidR="007F112B">
        <w:t xml:space="preserve"> with </w:t>
      </w:r>
      <w:r w:rsidR="00005044">
        <w:t xml:space="preserve">technologies which exhibit CRTS in production. </w:t>
      </w:r>
      <w:r w:rsidR="00887087">
        <w:t xml:space="preserve">In the case when the market is assumed to be perfectly competitive, all suppliers are ‘fringe competitors’. The </w:t>
      </w:r>
      <w:r w:rsidR="007F112B">
        <w:t xml:space="preserve">price elasticities of supply </w:t>
      </w:r>
      <w:r w:rsidR="00005044">
        <w:t xml:space="preserve">for </w:t>
      </w:r>
      <w:r w:rsidR="00887087">
        <w:t xml:space="preserve">all </w:t>
      </w:r>
      <w:r w:rsidR="00005044">
        <w:t xml:space="preserve">the technologies </w:t>
      </w:r>
      <w:r w:rsidR="00722642">
        <w:t>may be different due to their different cost structures as well as different availability of natural resources used in these technologies.</w:t>
      </w:r>
      <w:r w:rsidR="00722642">
        <w:rPr>
          <w:rStyle w:val="FootnoteReference"/>
        </w:rPr>
        <w:footnoteReference w:id="19"/>
      </w:r>
      <w:r w:rsidR="009D4A8E">
        <w:t xml:space="preserve"> For the illustrative experiment considered in this paper, we </w:t>
      </w:r>
      <w:r w:rsidR="00887087">
        <w:t>assume</w:t>
      </w:r>
      <w:r w:rsidR="009D4A8E">
        <w:t xml:space="preserve"> for simplicity that price elasticity of supply is equal to </w:t>
      </w:r>
      <w:r w:rsidR="00887087">
        <w:t xml:space="preserve">2 for fossil fuel technologies, 2.7 for non-hydro renewable technologies (see, for example, Johnson, 2010), 0 for nuclear (to reflect the assumption that nuclear technology is to be phased out), and 1 for hydro technology. Price elasticity of demand for the electricity market is assumed to be 0.2 (see </w:t>
      </w:r>
      <w:proofErr w:type="spellStart"/>
      <w:r w:rsidR="00887087">
        <w:t>Epsey</w:t>
      </w:r>
      <w:proofErr w:type="spellEnd"/>
      <w:r w:rsidR="00887087">
        <w:t xml:space="preserve"> and </w:t>
      </w:r>
      <w:proofErr w:type="spellStart"/>
      <w:r w:rsidR="00887087">
        <w:t>Epsey</w:t>
      </w:r>
      <w:proofErr w:type="spellEnd"/>
      <w:r w:rsidR="00887087">
        <w:t xml:space="preserve">, 2004; </w:t>
      </w:r>
      <w:r w:rsidR="00657C8A">
        <w:t xml:space="preserve">Wade, 2005). In the case when some suppliers are assumed to be using technologies which exhibit scale economies, and hence cannot behave as perfectly competitive price-takers but act as </w:t>
      </w:r>
      <w:proofErr w:type="spellStart"/>
      <w:r w:rsidR="00657C8A">
        <w:t>Cournot</w:t>
      </w:r>
      <w:proofErr w:type="spellEnd"/>
      <w:r w:rsidR="00657C8A">
        <w:t xml:space="preserve"> </w:t>
      </w:r>
      <w:proofErr w:type="spellStart"/>
      <w:r w:rsidR="00657C8A">
        <w:t>oligopolists</w:t>
      </w:r>
      <w:proofErr w:type="spellEnd"/>
      <w:r w:rsidR="00657C8A">
        <w:t xml:space="preserve">, a residual demand </w:t>
      </w:r>
      <w:r w:rsidR="00722642">
        <w:t xml:space="preserve">curve </w:t>
      </w:r>
      <w:r w:rsidR="009D4A8E">
        <w:t xml:space="preserve">must be estimated. The </w:t>
      </w:r>
      <w:r w:rsidR="00657C8A">
        <w:t xml:space="preserve">price elasticity </w:t>
      </w:r>
      <w:r w:rsidR="009D4A8E">
        <w:t xml:space="preserve">for this residual demand curve is </w:t>
      </w:r>
      <w:r w:rsidR="00722642">
        <w:lastRenderedPageBreak/>
        <w:t xml:space="preserve">given </w:t>
      </w:r>
      <w:r w:rsidR="00657C8A">
        <w:t>Table 3</w:t>
      </w:r>
      <w:r w:rsidR="00722642">
        <w:t xml:space="preserve"> where it is seen that as the number of </w:t>
      </w:r>
      <w:proofErr w:type="spellStart"/>
      <w:r w:rsidR="00722642">
        <w:t>oligopolists</w:t>
      </w:r>
      <w:proofErr w:type="spellEnd"/>
      <w:r w:rsidR="00722642">
        <w:t xml:space="preserve"> increases (or the number of fringe competitors decrease), the price elasticity of the residual demand curve will decrease as expected.</w:t>
      </w:r>
    </w:p>
    <w:p w:rsidR="00FE74D6" w:rsidRDefault="00317785" w:rsidP="007442DB">
      <w:pPr>
        <w:spacing w:before="120" w:after="120" w:line="360" w:lineRule="auto"/>
      </w:pPr>
      <w:r>
        <w:t xml:space="preserve">Following a ‘shock’ to the cost structures of </w:t>
      </w:r>
      <w:r w:rsidR="004C476A">
        <w:t xml:space="preserve">some or all of the technologies, the supply curves of the ‘fringe competitors’ may shift (which will </w:t>
      </w:r>
      <w:r w:rsidR="009D4A8E">
        <w:t xml:space="preserve">affect </w:t>
      </w:r>
      <w:r w:rsidR="004C476A">
        <w:t xml:space="preserve">the residual demand curve) and also the cost curves of the </w:t>
      </w:r>
      <w:proofErr w:type="spellStart"/>
      <w:r w:rsidR="004C476A">
        <w:t>Cournot</w:t>
      </w:r>
      <w:proofErr w:type="spellEnd"/>
      <w:r w:rsidR="004C476A">
        <w:t xml:space="preserve"> </w:t>
      </w:r>
      <w:proofErr w:type="spellStart"/>
      <w:r w:rsidR="004C476A">
        <w:t>oligopolists</w:t>
      </w:r>
      <w:proofErr w:type="spellEnd"/>
      <w:r w:rsidR="004C476A">
        <w:t xml:space="preserve"> may also shift. This implies a new equilibrium </w:t>
      </w:r>
      <w:r w:rsidR="009D4A8E">
        <w:t xml:space="preserve">must be established and this is defined </w:t>
      </w:r>
      <w:r w:rsidR="004C476A">
        <w:t>by equation (10) or (11))</w:t>
      </w:r>
      <w:r w:rsidR="000F63C8">
        <w:t>.</w:t>
      </w:r>
    </w:p>
    <w:p w:rsidR="00BA6B55" w:rsidRDefault="00B95EF8" w:rsidP="007442DB">
      <w:pPr>
        <w:spacing w:before="120" w:after="120" w:line="360" w:lineRule="auto"/>
      </w:pPr>
      <w:r>
        <w:t xml:space="preserve">In order to compare the </w:t>
      </w:r>
      <w:r w:rsidR="00BA6B55">
        <w:t xml:space="preserve">results of the </w:t>
      </w:r>
      <w:r>
        <w:t xml:space="preserve">model with </w:t>
      </w:r>
      <w:r w:rsidR="00BA6B55">
        <w:t xml:space="preserve">the results of </w:t>
      </w:r>
      <w:r>
        <w:t xml:space="preserve">other conventional CGE models </w:t>
      </w:r>
      <w:r w:rsidR="00BA6B55">
        <w:t xml:space="preserve">which use </w:t>
      </w:r>
      <w:r w:rsidR="009D4A8E">
        <w:t xml:space="preserve">the </w:t>
      </w:r>
      <w:r w:rsidR="00BA6B55">
        <w:t>CRESH ‘technology bundle’ approach, the</w:t>
      </w:r>
      <w:r w:rsidR="00E94B28">
        <w:t xml:space="preserve"> model </w:t>
      </w:r>
      <w:r w:rsidR="00BA6B55">
        <w:t xml:space="preserve">is </w:t>
      </w:r>
      <w:r w:rsidR="009D4A8E">
        <w:t xml:space="preserve">also </w:t>
      </w:r>
      <w:r w:rsidR="00BA6B55">
        <w:t xml:space="preserve">built with an option to </w:t>
      </w:r>
      <w:r w:rsidR="009D4A8E">
        <w:t xml:space="preserve">estimate the results of this </w:t>
      </w:r>
      <w:r w:rsidR="00BA6B55">
        <w:t xml:space="preserve">approach. </w:t>
      </w:r>
      <w:r w:rsidR="00E94B28">
        <w:t xml:space="preserve">For </w:t>
      </w:r>
      <w:r w:rsidR="009D4A8E">
        <w:t xml:space="preserve">the </w:t>
      </w:r>
      <w:r w:rsidR="00E94B28">
        <w:t xml:space="preserve">CRESH technology bundle </w:t>
      </w:r>
      <w:r w:rsidR="009D4A8E">
        <w:t>approach</w:t>
      </w:r>
      <w:r w:rsidR="00E94B28">
        <w:t xml:space="preserve">, the supply </w:t>
      </w:r>
      <w:proofErr w:type="spellStart"/>
      <w:r w:rsidR="00E94B28">
        <w:t>behaviour</w:t>
      </w:r>
      <w:proofErr w:type="spellEnd"/>
      <w:r w:rsidR="00E94B28">
        <w:t xml:space="preserve"> of </w:t>
      </w:r>
      <w:r w:rsidR="00BA6B55">
        <w:t xml:space="preserve">the </w:t>
      </w:r>
      <w:r w:rsidR="00E94B28">
        <w:t xml:space="preserve">different technologies </w:t>
      </w:r>
      <w:r w:rsidR="009D4A8E">
        <w:t xml:space="preserve">is </w:t>
      </w:r>
      <w:r w:rsidR="00E94B28">
        <w:t xml:space="preserve">described </w:t>
      </w:r>
      <w:r w:rsidR="00BA6B55">
        <w:t>by the following equation:</w:t>
      </w:r>
    </w:p>
    <w:p w:rsidR="00BA6B55" w:rsidRPr="00ED1835" w:rsidRDefault="00BA6B55" w:rsidP="00BA6B55">
      <w:pPr>
        <w:spacing w:line="240" w:lineRule="auto"/>
        <w:ind w:firstLine="720"/>
      </w:pPr>
      <w:r w:rsidRPr="00355172">
        <w:rPr>
          <w:position w:val="-32"/>
          <w:lang w:val="de-DE"/>
        </w:rPr>
        <w:object w:dxaOrig="2140" w:dyaOrig="560">
          <v:shape id="_x0000_i1060" type="#_x0000_t75" style="width:118.5pt;height:30.75pt" o:ole="">
            <v:imagedata r:id="rId74" o:title=""/>
          </v:shape>
          <o:OLEObject Type="Embed" ProgID="Equation.3" ShapeID="_x0000_i1060" DrawAspect="Content" ObjectID="_1471069907" r:id="rId75"/>
        </w:object>
      </w:r>
      <w:r w:rsidRPr="00ED1835">
        <w:tab/>
      </w:r>
      <w:r w:rsidRPr="00ED1835">
        <w:tab/>
      </w:r>
      <w:r w:rsidRPr="00ED1835">
        <w:tab/>
      </w:r>
      <w:r>
        <w:tab/>
      </w:r>
      <w:r>
        <w:tab/>
      </w:r>
      <w:r>
        <w:tab/>
      </w:r>
      <w:r>
        <w:tab/>
      </w:r>
      <w:r>
        <w:tab/>
      </w:r>
      <w:r w:rsidRPr="00ED1835">
        <w:t>(</w:t>
      </w:r>
      <w:r>
        <w:t>12)</w:t>
      </w:r>
    </w:p>
    <w:p w:rsidR="0086767E" w:rsidRDefault="00BA6B55" w:rsidP="007442DB">
      <w:pPr>
        <w:spacing w:before="120" w:after="120" w:line="360" w:lineRule="auto"/>
      </w:pPr>
      <w:r>
        <w:t>where (</w:t>
      </w:r>
      <w:proofErr w:type="spellStart"/>
      <w:r>
        <w:rPr>
          <w:i/>
        </w:rPr>
        <w:t>q</w:t>
      </w:r>
      <w:r w:rsidRPr="00E94B28">
        <w:rPr>
          <w:i/>
          <w:vertAlign w:val="subscript"/>
        </w:rPr>
        <w:t>i</w:t>
      </w:r>
      <w:proofErr w:type="spellEnd"/>
      <w:r>
        <w:t xml:space="preserve">) is the </w:t>
      </w:r>
      <w:r w:rsidR="00E94B28">
        <w:t xml:space="preserve">percentage change in </w:t>
      </w:r>
      <w:r>
        <w:t xml:space="preserve">quantity of technology </w:t>
      </w:r>
      <w:proofErr w:type="spellStart"/>
      <w:r w:rsidRPr="00BA6B55">
        <w:rPr>
          <w:i/>
        </w:rPr>
        <w:t>i</w:t>
      </w:r>
      <w:proofErr w:type="spellEnd"/>
      <w:r>
        <w:rPr>
          <w:i/>
        </w:rPr>
        <w:t xml:space="preserve"> </w:t>
      </w:r>
      <w:r>
        <w:t>and (</w:t>
      </w:r>
      <w:r>
        <w:rPr>
          <w:i/>
        </w:rPr>
        <w:t>p</w:t>
      </w:r>
      <w:r w:rsidRPr="00E94B28">
        <w:rPr>
          <w:i/>
          <w:vertAlign w:val="subscript"/>
        </w:rPr>
        <w:t>i</w:t>
      </w:r>
      <w:r>
        <w:t>) is the percentage change in its price</w:t>
      </w:r>
      <w:r w:rsidR="0086767E">
        <w:t>;</w:t>
      </w:r>
      <w:r>
        <w:t xml:space="preserve"> (</w:t>
      </w:r>
      <w:r w:rsidRPr="007F609D">
        <w:rPr>
          <w:position w:val="-10"/>
        </w:rPr>
        <w:object w:dxaOrig="260" w:dyaOrig="340">
          <v:shape id="_x0000_i1061" type="#_x0000_t75" style="width:13.5pt;height:17.25pt" o:ole="">
            <v:imagedata r:id="rId76" o:title=""/>
          </v:shape>
          <o:OLEObject Type="Embed" ProgID="Equation.3" ShapeID="_x0000_i1061" DrawAspect="Content" ObjectID="_1471069908" r:id="rId77"/>
        </w:object>
      </w:r>
      <w:r>
        <w:t xml:space="preserve">) is the modified value share of input </w:t>
      </w:r>
      <w:proofErr w:type="spellStart"/>
      <w:r>
        <w:rPr>
          <w:i/>
        </w:rPr>
        <w:t>i</w:t>
      </w:r>
      <w:proofErr w:type="spellEnd"/>
      <w:r>
        <w:t xml:space="preserve"> </w:t>
      </w:r>
      <w:r w:rsidRPr="007F609D">
        <w:t>which</w:t>
      </w:r>
      <w:r>
        <w:t xml:space="preserve"> is related to the ordinary value share (</w:t>
      </w:r>
      <w:r w:rsidRPr="00D94394">
        <w:rPr>
          <w:position w:val="-32"/>
        </w:rPr>
        <w:object w:dxaOrig="1680" w:dyaOrig="560">
          <v:shape id="_x0000_i1062" type="#_x0000_t75" style="width:84pt;height:28.5pt" o:ole="">
            <v:imagedata r:id="rId78" o:title=""/>
          </v:shape>
          <o:OLEObject Type="Embed" ProgID="Equation.3" ShapeID="_x0000_i1062" DrawAspect="Content" ObjectID="_1471069909" r:id="rId79"/>
        </w:object>
      </w:r>
      <w:r>
        <w:t xml:space="preserve">) via the relationship: </w:t>
      </w:r>
      <w:r w:rsidRPr="00D94394">
        <w:rPr>
          <w:position w:val="-32"/>
        </w:rPr>
        <w:object w:dxaOrig="1840" w:dyaOrig="560">
          <v:shape id="_x0000_i1063" type="#_x0000_t75" style="width:92.25pt;height:28.5pt" o:ole="">
            <v:imagedata r:id="rId80" o:title=""/>
          </v:shape>
          <o:OLEObject Type="Embed" ProgID="Equation.3" ShapeID="_x0000_i1063" DrawAspect="Content" ObjectID="_1471069910" r:id="rId81"/>
        </w:object>
      </w:r>
      <w:r>
        <w:t xml:space="preserve">(see Dixon </w:t>
      </w:r>
      <w:r>
        <w:rPr>
          <w:i/>
        </w:rPr>
        <w:t xml:space="preserve">et al. </w:t>
      </w:r>
      <w:r>
        <w:t>(1982), p. 86 for more details)</w:t>
      </w:r>
      <w:r w:rsidR="0086767E">
        <w:t>; (</w:t>
      </w:r>
      <w:r w:rsidR="0086767E" w:rsidRPr="00D94394">
        <w:rPr>
          <w:position w:val="-10"/>
        </w:rPr>
        <w:object w:dxaOrig="260" w:dyaOrig="300">
          <v:shape id="_x0000_i1064" type="#_x0000_t75" style="width:13.5pt;height:15pt" o:ole="">
            <v:imagedata r:id="rId82" o:title=""/>
          </v:shape>
          <o:OLEObject Type="Embed" ProgID="Equation.3" ShapeID="_x0000_i1064" DrawAspect="Content" ObjectID="_1471069911" r:id="rId83"/>
        </w:object>
      </w:r>
      <w:r w:rsidR="0086767E">
        <w:t>) are the CRESH elasticities of substitution which are related to the own- and cross-price elasticities of demand for the technologies as follows:</w:t>
      </w:r>
      <w:r w:rsidR="009D1C66">
        <w:rPr>
          <w:rStyle w:val="FootnoteReference"/>
        </w:rPr>
        <w:footnoteReference w:id="20"/>
      </w:r>
    </w:p>
    <w:p w:rsidR="0086767E" w:rsidRPr="00ED1835" w:rsidRDefault="00D14EC2" w:rsidP="0086767E">
      <w:pPr>
        <w:spacing w:line="240" w:lineRule="auto"/>
        <w:ind w:firstLine="720"/>
      </w:pPr>
      <w:r w:rsidRPr="00CA447D">
        <w:rPr>
          <w:position w:val="-20"/>
          <w:lang w:val="de-DE"/>
        </w:rPr>
        <w:object w:dxaOrig="3140" w:dyaOrig="440">
          <v:shape id="_x0000_i1068" type="#_x0000_t75" style="width:174pt;height:24pt" o:ole="">
            <v:imagedata r:id="rId84" o:title=""/>
          </v:shape>
          <o:OLEObject Type="Embed" ProgID="Equation.3" ShapeID="_x0000_i1068" DrawAspect="Content" ObjectID="_1471069912" r:id="rId85"/>
        </w:object>
      </w:r>
      <w:r w:rsidR="0086767E" w:rsidRPr="00ED1835">
        <w:tab/>
      </w:r>
      <w:r w:rsidR="0086767E">
        <w:tab/>
      </w:r>
      <w:r w:rsidR="0086767E">
        <w:tab/>
      </w:r>
      <w:r w:rsidR="00DC70BE">
        <w:tab/>
      </w:r>
      <w:r w:rsidR="00DC70BE">
        <w:tab/>
      </w:r>
      <w:r w:rsidR="0086767E">
        <w:tab/>
      </w:r>
      <w:r w:rsidR="0086767E" w:rsidRPr="00ED1835">
        <w:t>(</w:t>
      </w:r>
      <w:r w:rsidR="0086767E">
        <w:t>1</w:t>
      </w:r>
      <w:r w:rsidR="00BC25ED">
        <w:t>3</w:t>
      </w:r>
      <w:r w:rsidR="0086767E">
        <w:t>)</w:t>
      </w:r>
    </w:p>
    <w:p w:rsidR="0086767E" w:rsidRPr="00ED1835" w:rsidRDefault="00D14EC2" w:rsidP="0086767E">
      <w:pPr>
        <w:spacing w:line="240" w:lineRule="auto"/>
        <w:ind w:firstLine="720"/>
      </w:pPr>
      <w:r w:rsidRPr="00CA447D">
        <w:rPr>
          <w:position w:val="-20"/>
          <w:lang w:val="de-DE"/>
        </w:rPr>
        <w:object w:dxaOrig="2659" w:dyaOrig="460">
          <v:shape id="_x0000_i1069" type="#_x0000_t75" style="width:147pt;height:24.75pt" o:ole="">
            <v:imagedata r:id="rId86" o:title=""/>
          </v:shape>
          <o:OLEObject Type="Embed" ProgID="Equation.3" ShapeID="_x0000_i1069" DrawAspect="Content" ObjectID="_1471069913" r:id="rId87"/>
        </w:object>
      </w:r>
      <w:r w:rsidR="0086767E" w:rsidRPr="00ED1835">
        <w:tab/>
      </w:r>
      <w:r w:rsidR="0086767E" w:rsidRPr="00ED1835">
        <w:tab/>
      </w:r>
      <w:r w:rsidR="0086767E" w:rsidRPr="00ED1835">
        <w:tab/>
      </w:r>
      <w:r w:rsidR="0086767E">
        <w:tab/>
      </w:r>
      <w:r w:rsidR="00DC70BE">
        <w:tab/>
      </w:r>
      <w:r w:rsidR="0086767E">
        <w:tab/>
      </w:r>
      <w:r w:rsidR="0086767E" w:rsidRPr="00ED1835">
        <w:t>(</w:t>
      </w:r>
      <w:r w:rsidR="0086767E">
        <w:t>1</w:t>
      </w:r>
      <w:r w:rsidR="00BC25ED">
        <w:t>4</w:t>
      </w:r>
      <w:r w:rsidR="0086767E">
        <w:t>)</w:t>
      </w:r>
    </w:p>
    <w:p w:rsidR="00881130" w:rsidRDefault="0086767E" w:rsidP="007442DB">
      <w:pPr>
        <w:spacing w:before="120" w:after="120" w:line="360" w:lineRule="auto"/>
      </w:pPr>
      <w:r>
        <w:t xml:space="preserve">Note that if there are </w:t>
      </w:r>
      <w:r>
        <w:rPr>
          <w:i/>
        </w:rPr>
        <w:t>n</w:t>
      </w:r>
      <w:r w:rsidRPr="0086767E">
        <w:t xml:space="preserve"> </w:t>
      </w:r>
      <w:r>
        <w:t xml:space="preserve">CRESH elasticities, there are </w:t>
      </w:r>
      <w:r w:rsidRPr="0086767E">
        <w:rPr>
          <w:i/>
        </w:rPr>
        <w:t>2</w:t>
      </w:r>
      <w:r>
        <w:rPr>
          <w:i/>
        </w:rPr>
        <w:t xml:space="preserve">n </w:t>
      </w:r>
      <w:r w:rsidR="00944F8E">
        <w:t xml:space="preserve">parameters </w:t>
      </w:r>
      <w:r>
        <w:t>(</w:t>
      </w:r>
      <w:r>
        <w:rPr>
          <w:i/>
        </w:rPr>
        <w:t>n</w:t>
      </w:r>
      <w:r w:rsidRPr="00D94394">
        <w:rPr>
          <w:position w:val="-10"/>
        </w:rPr>
        <w:object w:dxaOrig="260" w:dyaOrig="300">
          <v:shape id="_x0000_i1065" type="#_x0000_t75" style="width:13.5pt;height:15pt" o:ole="">
            <v:imagedata r:id="rId82" o:title=""/>
          </v:shape>
          <o:OLEObject Type="Embed" ProgID="Equation.3" ShapeID="_x0000_i1065" DrawAspect="Content" ObjectID="_1471069914" r:id="rId88"/>
        </w:object>
      </w:r>
      <w:r>
        <w:t xml:space="preserve">and </w:t>
      </w:r>
      <w:r>
        <w:rPr>
          <w:i/>
        </w:rPr>
        <w:t>n</w:t>
      </w:r>
      <w:r w:rsidR="00944F8E" w:rsidRPr="002051E7">
        <w:rPr>
          <w:position w:val="-10"/>
        </w:rPr>
        <w:object w:dxaOrig="260" w:dyaOrig="340">
          <v:shape id="_x0000_i1066" type="#_x0000_t75" style="width:12.75pt;height:17.25pt" o:ole="">
            <v:imagedata r:id="rId89" o:title=""/>
          </v:shape>
          <o:OLEObject Type="Embed" ProgID="Equation.3" ShapeID="_x0000_i1066" DrawAspect="Content" ObjectID="_1471069915" r:id="rId90"/>
        </w:object>
      </w:r>
      <w:r>
        <w:t>)</w:t>
      </w:r>
      <w:r w:rsidR="00944F8E">
        <w:t xml:space="preserve"> </w:t>
      </w:r>
      <w:r>
        <w:t>to be determined from equation (1</w:t>
      </w:r>
      <w:r w:rsidR="00BC25ED">
        <w:t>3</w:t>
      </w:r>
      <w:r>
        <w:t>) and (1</w:t>
      </w:r>
      <w:r w:rsidR="00BC25ED">
        <w:t>4</w:t>
      </w:r>
      <w:r>
        <w:t>)</w:t>
      </w:r>
      <w:r w:rsidR="00A55E6F">
        <w:t xml:space="preserve"> </w:t>
      </w:r>
      <w:r w:rsidR="00D14EC2">
        <w:t xml:space="preserve">using </w:t>
      </w:r>
      <w:r w:rsidR="00A55E6F">
        <w:t xml:space="preserve">the </w:t>
      </w:r>
      <w:r w:rsidR="004E029E">
        <w:t>(2</w:t>
      </w:r>
      <w:r w:rsidR="004E029E" w:rsidRPr="0086767E">
        <w:rPr>
          <w:i/>
        </w:rPr>
        <w:t>n</w:t>
      </w:r>
      <w:r w:rsidR="004E029E">
        <w:t>!-</w:t>
      </w:r>
      <w:r w:rsidR="004E029E">
        <w:rPr>
          <w:i/>
        </w:rPr>
        <w:t>n</w:t>
      </w:r>
      <w:r w:rsidR="004E029E">
        <w:t>)</w:t>
      </w:r>
      <w:r w:rsidR="004E029E">
        <w:rPr>
          <w:i/>
        </w:rPr>
        <w:t xml:space="preserve"> </w:t>
      </w:r>
      <w:r>
        <w:t xml:space="preserve">values of </w:t>
      </w:r>
      <w:r w:rsidR="00944F8E">
        <w:t xml:space="preserve">the </w:t>
      </w:r>
      <w:r>
        <w:t>price elasticities</w:t>
      </w:r>
      <w:r w:rsidR="00A55E6F">
        <w:t>. If the cross-price elasticities can be scaled by the value shares to be symmetric</w:t>
      </w:r>
      <w:r w:rsidR="00A55E6F">
        <w:rPr>
          <w:rStyle w:val="FootnoteReference"/>
        </w:rPr>
        <w:footnoteReference w:id="21"/>
      </w:r>
      <w:r w:rsidR="00A55E6F">
        <w:t xml:space="preserve"> then there are (</w:t>
      </w:r>
      <w:r w:rsidR="00A55E6F" w:rsidRPr="0086767E">
        <w:rPr>
          <w:i/>
        </w:rPr>
        <w:t>n</w:t>
      </w:r>
      <w:r w:rsidR="00A55E6F">
        <w:t>!)</w:t>
      </w:r>
      <w:r w:rsidR="00A55E6F">
        <w:rPr>
          <w:i/>
        </w:rPr>
        <w:t xml:space="preserve"> </w:t>
      </w:r>
      <w:r w:rsidR="00A55E6F">
        <w:lastRenderedPageBreak/>
        <w:t xml:space="preserve">own and cross-price elasticities </w:t>
      </w:r>
      <w:r w:rsidR="004E029E">
        <w:t xml:space="preserve">to </w:t>
      </w:r>
      <w:r w:rsidR="00D14EC2">
        <w:t xml:space="preserve">be used to </w:t>
      </w:r>
      <w:r w:rsidR="00A55E6F">
        <w:t xml:space="preserve">determine the values of the </w:t>
      </w:r>
      <w:r w:rsidR="00A55E6F" w:rsidRPr="0086767E">
        <w:rPr>
          <w:i/>
        </w:rPr>
        <w:t>2</w:t>
      </w:r>
      <w:r w:rsidR="00A55E6F">
        <w:rPr>
          <w:i/>
        </w:rPr>
        <w:t xml:space="preserve">n </w:t>
      </w:r>
      <w:r w:rsidR="00A55E6F">
        <w:t>parameters mentioned. I</w:t>
      </w:r>
      <w:r>
        <w:t xml:space="preserve">n the special case when </w:t>
      </w:r>
      <w:r>
        <w:rPr>
          <w:i/>
        </w:rPr>
        <w:t>n</w:t>
      </w:r>
      <w:r>
        <w:t>=3</w:t>
      </w:r>
      <w:r w:rsidR="009521F5">
        <w:t>,</w:t>
      </w:r>
      <w:r>
        <w:t xml:space="preserve"> the number of parameters to be determined </w:t>
      </w:r>
      <w:r w:rsidR="00A55E6F">
        <w:t xml:space="preserve">therefore </w:t>
      </w:r>
      <w:r w:rsidR="00944F8E">
        <w:t xml:space="preserve">equal </w:t>
      </w:r>
      <w:r w:rsidR="00A55E6F">
        <w:t xml:space="preserve">exactly </w:t>
      </w:r>
      <w:r w:rsidR="00944F8E">
        <w:t xml:space="preserve">the number of </w:t>
      </w:r>
      <w:r w:rsidR="00A55E6F">
        <w:t xml:space="preserve">the </w:t>
      </w:r>
      <w:r w:rsidR="007D0AE7">
        <w:t>(</w:t>
      </w:r>
      <w:r w:rsidR="00A55E6F">
        <w:t>calibrated</w:t>
      </w:r>
      <w:r w:rsidR="007D0AE7">
        <w:t xml:space="preserve">) </w:t>
      </w:r>
      <w:r w:rsidR="00944F8E">
        <w:t xml:space="preserve">price elasticities. </w:t>
      </w:r>
      <w:r w:rsidR="00331504">
        <w:t xml:space="preserve">We can </w:t>
      </w:r>
      <w:r w:rsidR="009521F5">
        <w:t>use this special case to find the CRESH parameters for fossil fuel technologies (</w:t>
      </w:r>
      <w:proofErr w:type="spellStart"/>
      <w:r w:rsidR="009521F5">
        <w:t>Coatec</w:t>
      </w:r>
      <w:proofErr w:type="spellEnd"/>
      <w:r w:rsidR="009521F5">
        <w:t xml:space="preserve">, </w:t>
      </w:r>
      <w:proofErr w:type="spellStart"/>
      <w:r w:rsidR="009521F5">
        <w:t>Oiltec</w:t>
      </w:r>
      <w:proofErr w:type="spellEnd"/>
      <w:r w:rsidR="009521F5">
        <w:t xml:space="preserve">, Gastec), </w:t>
      </w:r>
      <w:r w:rsidR="004D7D30">
        <w:t>using the values of the own and cross price elasticities of these technologies (as given in Table 4)</w:t>
      </w:r>
      <w:r w:rsidR="004D7D30">
        <w:rPr>
          <w:rStyle w:val="FootnoteReference"/>
        </w:rPr>
        <w:footnoteReference w:id="22"/>
      </w:r>
      <w:r w:rsidR="004D7D30">
        <w:t xml:space="preserve"> </w:t>
      </w:r>
      <w:r w:rsidR="00A55E6F">
        <w:t xml:space="preserve">and calibrated </w:t>
      </w:r>
      <w:r w:rsidR="004D7D30">
        <w:t xml:space="preserve">with the GTAP value shares. Once the demand for these (aggregate) technologies are known, they can then be disaggregated into the conventional and CCS counterpart, for example, </w:t>
      </w:r>
      <w:proofErr w:type="spellStart"/>
      <w:r w:rsidR="009521F5">
        <w:t>Coatec</w:t>
      </w:r>
      <w:proofErr w:type="spellEnd"/>
      <w:r w:rsidR="009521F5">
        <w:t xml:space="preserve"> into </w:t>
      </w:r>
      <w:proofErr w:type="spellStart"/>
      <w:r w:rsidR="009521F5">
        <w:t>ElyCoa</w:t>
      </w:r>
      <w:proofErr w:type="spellEnd"/>
      <w:r w:rsidR="009521F5">
        <w:t xml:space="preserve"> and </w:t>
      </w:r>
      <w:proofErr w:type="spellStart"/>
      <w:r w:rsidR="009521F5">
        <w:t>CoaCCS</w:t>
      </w:r>
      <w:proofErr w:type="spellEnd"/>
      <w:r w:rsidR="004D7D30">
        <w:t>, etc.</w:t>
      </w:r>
      <w:r w:rsidR="009521F5">
        <w:rPr>
          <w:rStyle w:val="FootnoteReference"/>
        </w:rPr>
        <w:footnoteReference w:id="23"/>
      </w:r>
      <w:r w:rsidR="009521F5">
        <w:t xml:space="preserve"> </w:t>
      </w:r>
      <w:r w:rsidR="00405CF8">
        <w:t xml:space="preserve">For the case of non-fossil fuel technologies, we </w:t>
      </w:r>
      <w:r w:rsidR="00473C51">
        <w:t xml:space="preserve">assume the CRESH parameters are equal to price elasticity of </w:t>
      </w:r>
      <w:r w:rsidR="00405CF8" w:rsidRPr="00944F8E">
        <w:rPr>
          <w:i/>
        </w:rPr>
        <w:t>supply</w:t>
      </w:r>
      <w:r w:rsidR="00405CF8">
        <w:rPr>
          <w:rStyle w:val="FootnoteReference"/>
          <w:i/>
        </w:rPr>
        <w:footnoteReference w:id="24"/>
      </w:r>
      <w:r w:rsidR="00473C51">
        <w:t xml:space="preserve"> for the technology. Thus for example, </w:t>
      </w:r>
      <w:r w:rsidR="00405CF8">
        <w:t>the value</w:t>
      </w:r>
      <w:r w:rsidR="00473C51">
        <w:t xml:space="preserve"> of </w:t>
      </w:r>
      <w:r w:rsidR="00405CF8">
        <w:t>(</w:t>
      </w:r>
      <w:r w:rsidR="00405CF8" w:rsidRPr="00D94394">
        <w:rPr>
          <w:position w:val="-10"/>
        </w:rPr>
        <w:object w:dxaOrig="260" w:dyaOrig="300">
          <v:shape id="_x0000_i1067" type="#_x0000_t75" style="width:13.5pt;height:15pt" o:ole="">
            <v:imagedata r:id="rId82" o:title=""/>
          </v:shape>
          <o:OLEObject Type="Embed" ProgID="Equation.3" ShapeID="_x0000_i1067" DrawAspect="Content" ObjectID="_1471069916" r:id="rId91"/>
        </w:object>
      </w:r>
      <w:r w:rsidR="00405CF8">
        <w:t>)</w:t>
      </w:r>
      <w:r w:rsidR="000F25F7">
        <w:t xml:space="preserve"> for </w:t>
      </w:r>
      <w:r w:rsidR="00F4384E">
        <w:t xml:space="preserve">nuclear electricity is assumed to be </w:t>
      </w:r>
      <w:r w:rsidR="000F25F7">
        <w:t xml:space="preserve">equal to </w:t>
      </w:r>
      <w:r w:rsidR="00F4384E">
        <w:t xml:space="preserve">zero </w:t>
      </w:r>
      <w:r w:rsidR="00473C51">
        <w:t xml:space="preserve">(to reflect Japanese policy restriction on nuclear electricity expansion) </w:t>
      </w:r>
      <w:r w:rsidR="00D86D6B">
        <w:t xml:space="preserve">while </w:t>
      </w:r>
      <w:r w:rsidR="000F25F7">
        <w:t>that for</w:t>
      </w:r>
      <w:r w:rsidR="00D86D6B">
        <w:t xml:space="preserve"> non-hydro renewable technologies </w:t>
      </w:r>
      <w:r w:rsidR="000F25F7">
        <w:t>is</w:t>
      </w:r>
      <w:r w:rsidR="00D86D6B">
        <w:t xml:space="preserve"> assumed to be equal to </w:t>
      </w:r>
      <w:r w:rsidR="00F4384E">
        <w:t>2.7</w:t>
      </w:r>
      <w:r w:rsidR="00473C51">
        <w:t xml:space="preserve"> (which are the values as estimated for the US in Johnson (2014)). The price elasticity of supply for hydro electricity can be assumed to be equal to </w:t>
      </w:r>
      <w:r w:rsidR="00D86D6B">
        <w:t>1</w:t>
      </w:r>
      <w:r w:rsidR="00473C51">
        <w:t xml:space="preserve"> (i.e. much less than 2.7 but greater than 0) to reflect the more severe resource constraint on hydro electricity development as compared to other renewable technologies. Given these assumptions, the own-price and cross-price elasticities of demand for the technologies </w:t>
      </w:r>
      <w:r w:rsidR="00D14EC2">
        <w:t xml:space="preserve">can be </w:t>
      </w:r>
      <w:r w:rsidR="00473C51">
        <w:t>estimated using the GTAP value shares and they are given in Table 5.</w:t>
      </w:r>
    </w:p>
    <w:p w:rsidR="00F92B92" w:rsidRPr="00F92B92" w:rsidRDefault="00BC25ED" w:rsidP="007442DB">
      <w:pPr>
        <w:spacing w:before="120" w:after="120" w:line="360" w:lineRule="auto"/>
        <w:rPr>
          <w:b/>
          <w:i/>
        </w:rPr>
      </w:pPr>
      <w:r>
        <w:rPr>
          <w:b/>
          <w:i/>
        </w:rPr>
        <w:t>Example</w:t>
      </w:r>
      <w:r w:rsidR="00F92B92" w:rsidRPr="00F92B92">
        <w:rPr>
          <w:b/>
          <w:i/>
        </w:rPr>
        <w:t xml:space="preserve">: </w:t>
      </w:r>
      <w:r w:rsidR="00F92B92">
        <w:rPr>
          <w:b/>
          <w:i/>
        </w:rPr>
        <w:t>Japan’s Kyoto Protoc</w:t>
      </w:r>
      <w:r w:rsidR="00B95EF8">
        <w:rPr>
          <w:b/>
          <w:i/>
        </w:rPr>
        <w:t>o</w:t>
      </w:r>
      <w:r w:rsidR="00F92B92">
        <w:rPr>
          <w:b/>
          <w:i/>
        </w:rPr>
        <w:t xml:space="preserve">l </w:t>
      </w:r>
      <w:r w:rsidR="002D468F">
        <w:rPr>
          <w:b/>
          <w:i/>
        </w:rPr>
        <w:t xml:space="preserve">climate policy without an </w:t>
      </w:r>
      <w:r w:rsidR="00B95EF8">
        <w:rPr>
          <w:b/>
          <w:i/>
        </w:rPr>
        <w:t>accompanying energy polic</w:t>
      </w:r>
      <w:r w:rsidR="002D468F">
        <w:rPr>
          <w:b/>
          <w:i/>
        </w:rPr>
        <w:t>y</w:t>
      </w:r>
      <w:r w:rsidR="00F92B92">
        <w:rPr>
          <w:b/>
          <w:i/>
        </w:rPr>
        <w:t xml:space="preserve"> </w:t>
      </w:r>
    </w:p>
    <w:p w:rsidR="002D468F" w:rsidRDefault="00C90653" w:rsidP="00B95EF8">
      <w:pPr>
        <w:spacing w:before="120" w:after="120" w:line="360" w:lineRule="auto"/>
      </w:pPr>
      <w:r>
        <w:t xml:space="preserve">Japan’s obligation under the Kyoto Protocol involves cutting back on </w:t>
      </w:r>
      <w:r w:rsidR="000371B7">
        <w:t>CO</w:t>
      </w:r>
      <w:r w:rsidR="000371B7" w:rsidRPr="000371B7">
        <w:rPr>
          <w:vertAlign w:val="subscript"/>
        </w:rPr>
        <w:t>2</w:t>
      </w:r>
      <w:r w:rsidR="000371B7">
        <w:t xml:space="preserve"> emissions</w:t>
      </w:r>
      <w:r>
        <w:t xml:space="preserve"> (from the level of 2007) by about -31.8%. Without any emission trading with any other countries, this would involve Japan impos</w:t>
      </w:r>
      <w:r w:rsidR="008D7F90">
        <w:t>ing</w:t>
      </w:r>
      <w:r>
        <w:t xml:space="preserve"> either a carbon tax, or an emissions trading scheme on the domestic economy. The level of carbon tax </w:t>
      </w:r>
      <w:r w:rsidR="008D7F90">
        <w:t xml:space="preserve">(or emission permit price) </w:t>
      </w:r>
      <w:r>
        <w:t>required to achieve this target level of reduction in CO</w:t>
      </w:r>
      <w:r w:rsidRPr="00C90653">
        <w:rPr>
          <w:vertAlign w:val="subscript"/>
        </w:rPr>
        <w:t>2</w:t>
      </w:r>
      <w:r>
        <w:t xml:space="preserve"> emissions is given in Table 6</w:t>
      </w:r>
      <w:r w:rsidR="000D109B">
        <w:t xml:space="preserve"> under different assumptions about the structure of the electricity generation market</w:t>
      </w:r>
      <w:r w:rsidR="00BC25ED">
        <w:t xml:space="preserve">. If the </w:t>
      </w:r>
      <w:r w:rsidR="000D109B">
        <w:t xml:space="preserve">market is assumed to be perfectly </w:t>
      </w:r>
      <w:r w:rsidR="000D109B">
        <w:lastRenderedPageBreak/>
        <w:t xml:space="preserve">competitive </w:t>
      </w:r>
      <w:r w:rsidR="00BC25ED">
        <w:t xml:space="preserve">(PC) </w:t>
      </w:r>
      <w:r w:rsidR="000D109B">
        <w:t xml:space="preserve">and substitution between the technologies </w:t>
      </w:r>
      <w:r w:rsidR="00BC25ED">
        <w:t xml:space="preserve">can be </w:t>
      </w:r>
      <w:r w:rsidR="000D109B">
        <w:t xml:space="preserve">assumed to </w:t>
      </w:r>
      <w:r w:rsidR="00BC25ED">
        <w:t xml:space="preserve">be described by </w:t>
      </w:r>
      <w:r w:rsidR="000D109B">
        <w:t>a CRESH production function</w:t>
      </w:r>
      <w:r w:rsidR="00BC25ED">
        <w:t>, then the results are as shown in the column “CRESH” of Table 6.</w:t>
      </w:r>
      <w:r w:rsidR="00BC3DED">
        <w:rPr>
          <w:rStyle w:val="FootnoteReference"/>
        </w:rPr>
        <w:footnoteReference w:id="25"/>
      </w:r>
      <w:r w:rsidR="00BC25ED">
        <w:t xml:space="preserve"> On the other hand, if </w:t>
      </w:r>
      <w:r w:rsidR="000D109B">
        <w:t xml:space="preserve">the market is assumed to </w:t>
      </w:r>
      <w:r w:rsidR="00BC25ED">
        <w:t xml:space="preserve">lack the characteristics of a PC market, with some suppliers (especially those using coal, nuclear, or hydro electricity technologies) exhibit the characteristic of a </w:t>
      </w:r>
      <w:proofErr w:type="spellStart"/>
      <w:r w:rsidR="000D109B">
        <w:t>Cournot</w:t>
      </w:r>
      <w:proofErr w:type="spellEnd"/>
      <w:r w:rsidR="000D109B">
        <w:t xml:space="preserve"> monopolist or </w:t>
      </w:r>
      <w:proofErr w:type="spellStart"/>
      <w:r w:rsidR="000D109B">
        <w:t>oligopolist</w:t>
      </w:r>
      <w:proofErr w:type="spellEnd"/>
      <w:r w:rsidR="000D109B">
        <w:t xml:space="preserve"> </w:t>
      </w:r>
      <w:r w:rsidR="00BC25ED">
        <w:t>when setting their production levels, then the results are as shown in column “IC” (for imperfect competition) of Table 6. Here we can look at three different cases when (</w:t>
      </w:r>
      <w:proofErr w:type="spellStart"/>
      <w:r w:rsidR="00BC25ED">
        <w:t>i</w:t>
      </w:r>
      <w:proofErr w:type="spellEnd"/>
      <w:r w:rsidR="00BC25ED">
        <w:t xml:space="preserve">) only one supplier (using coal technology) is assumed to behave as an imperfect competitor, </w:t>
      </w:r>
      <w:r w:rsidR="002D468F">
        <w:t xml:space="preserve">when </w:t>
      </w:r>
      <w:r w:rsidR="00BC25ED">
        <w:t xml:space="preserve">(ii) two suppliers (those using coal as well as nuclear technology) are assumed to behave as imperfect competitors, and </w:t>
      </w:r>
      <w:r w:rsidR="002D468F">
        <w:t xml:space="preserve">when </w:t>
      </w:r>
      <w:r w:rsidR="00BC25ED">
        <w:t>(</w:t>
      </w:r>
      <w:r w:rsidR="002D468F">
        <w:t>i</w:t>
      </w:r>
      <w:r w:rsidR="00BC25ED">
        <w:t>ii</w:t>
      </w:r>
      <w:proofErr w:type="gramStart"/>
      <w:r w:rsidR="00BC25ED">
        <w:t>)</w:t>
      </w:r>
      <w:r w:rsidR="002D468F">
        <w:t>three</w:t>
      </w:r>
      <w:proofErr w:type="gramEnd"/>
      <w:r w:rsidR="002D468F">
        <w:t xml:space="preserve"> suppliers (those using coal,  nuclear, as well as hydroelectricity technology) are assumed to behave as imperfect competitors</w:t>
      </w:r>
      <w:r w:rsidR="00BC25ED">
        <w:t>,</w:t>
      </w:r>
      <w:r w:rsidR="002D468F">
        <w:t xml:space="preserve"> </w:t>
      </w:r>
    </w:p>
    <w:p w:rsidR="00CC6491" w:rsidRDefault="002D468F" w:rsidP="002D468F">
      <w:pPr>
        <w:spacing w:before="120" w:after="120" w:line="360" w:lineRule="auto"/>
      </w:pPr>
      <w:r>
        <w:t xml:space="preserve">Table 7 shows the changes in </w:t>
      </w:r>
      <w:r w:rsidR="00BC3DED">
        <w:t xml:space="preserve">production levels for different sectors and technologies </w:t>
      </w:r>
      <w:proofErr w:type="spellStart"/>
      <w:r w:rsidR="00BC3DED">
        <w:t>technologies</w:t>
      </w:r>
      <w:proofErr w:type="spellEnd"/>
      <w:r w:rsidR="00BC3DED">
        <w:t xml:space="preserve"> </w:t>
      </w:r>
      <w:r w:rsidR="00B16EFA">
        <w:t xml:space="preserve">in the Japanese economy following the imposition of the climate change policy outcome under these different assumptions about market structure. </w:t>
      </w:r>
      <w:r w:rsidR="00CC6491">
        <w:t>Table 8 shows corresponding changes in price level.</w:t>
      </w:r>
      <w:r>
        <w:t xml:space="preserve"> Table </w:t>
      </w:r>
      <w:r w:rsidR="00CC6491">
        <w:t>9</w:t>
      </w:r>
      <w:r>
        <w:t xml:space="preserve"> shows the results in terms of market shares for different technologies following from the imposition of the climate change policy with no accompanying energy policy</w:t>
      </w:r>
      <w:r w:rsidR="00CC6491">
        <w:t>. The results are also illustrated in Figure 3</w:t>
      </w:r>
      <w:r w:rsidR="003E63EE">
        <w:t>a, b</w:t>
      </w:r>
      <w:r w:rsidR="00CC6491">
        <w:t>.</w:t>
      </w:r>
    </w:p>
    <w:p w:rsidR="00E42773" w:rsidRDefault="00E42773" w:rsidP="002D468F">
      <w:pPr>
        <w:spacing w:before="120" w:after="120" w:line="360" w:lineRule="auto"/>
      </w:pPr>
      <w:r>
        <w:t>Overall the results show that the market outcome</w:t>
      </w:r>
      <w:r w:rsidR="008120C8">
        <w:t>s</w:t>
      </w:r>
      <w:r>
        <w:t xml:space="preserve"> as well as outcome</w:t>
      </w:r>
      <w:r w:rsidR="008120C8">
        <w:t>s</w:t>
      </w:r>
      <w:r>
        <w:t xml:space="preserve"> for individual technologies are quite different depending on </w:t>
      </w:r>
      <w:r w:rsidR="008120C8">
        <w:t xml:space="preserve">different </w:t>
      </w:r>
      <w:r>
        <w:t xml:space="preserve">assumptions made about market structure, as can be expected. </w:t>
      </w:r>
      <w:r w:rsidR="008120C8">
        <w:t>Comparing the technology bundle approach using CRESH aggregate production function to represent the electricity market, and the imperfect competition approach suggested in this paper, it can be seen that (</w:t>
      </w:r>
      <w:proofErr w:type="spellStart"/>
      <w:r w:rsidR="008120C8">
        <w:t>i</w:t>
      </w:r>
      <w:proofErr w:type="spellEnd"/>
      <w:r w:rsidR="008120C8">
        <w:t xml:space="preserve">) the CRESH results are quite sensitive to the output adjustment which is (arbitrarily) made to ensure all outputs of technologies sum to the total </w:t>
      </w:r>
      <w:proofErr w:type="spellStart"/>
      <w:r w:rsidR="008120C8">
        <w:t>sectoral</w:t>
      </w:r>
      <w:proofErr w:type="spellEnd"/>
      <w:r w:rsidR="008120C8">
        <w:t xml:space="preserve"> output, in once case (</w:t>
      </w:r>
      <w:proofErr w:type="spellStart"/>
      <w:r w:rsidR="008120C8">
        <w:t>Elygas</w:t>
      </w:r>
      <w:proofErr w:type="spellEnd"/>
      <w:r w:rsidR="008120C8">
        <w:t xml:space="preserve"> technology) the adjustment may even lead to negative market share which is an infeasible result, (ii) CRESH results may give more emphasis to Nuclear and Hydro technology competition with respect to coal technology (even with some restriction on supply elasticities (i.e. on CRESH substitution parameters) </w:t>
      </w:r>
      <w:r w:rsidR="006458F5">
        <w:t xml:space="preserve">while IC results play down this competition because both Nuclear and Hydro technologies have cost structures which </w:t>
      </w:r>
      <w:r w:rsidR="006458F5">
        <w:lastRenderedPageBreak/>
        <w:t xml:space="preserve">are similar to coal technologies (i.e. large upfront capital costs and hence economies of scale in production). This restricts their abilities to compete with coal because their average unit costs are more a function of production level rather than marginal costs hence even if the marginal costs for </w:t>
      </w:r>
      <w:proofErr w:type="spellStart"/>
      <w:r w:rsidR="006458F5">
        <w:t>Elycoa</w:t>
      </w:r>
      <w:proofErr w:type="spellEnd"/>
      <w:r w:rsidR="006458F5">
        <w:t xml:space="preserve"> may increase (because of climate policy) this may not be sufficient to drive the three (potentially </w:t>
      </w:r>
      <w:proofErr w:type="spellStart"/>
      <w:r w:rsidR="006458F5">
        <w:t>Cournot</w:t>
      </w:r>
      <w:proofErr w:type="spellEnd"/>
      <w:r w:rsidR="006458F5">
        <w:t xml:space="preserve">) </w:t>
      </w:r>
      <w:proofErr w:type="spellStart"/>
      <w:r w:rsidR="006458F5">
        <w:t>oilgopolists</w:t>
      </w:r>
      <w:proofErr w:type="spellEnd"/>
      <w:r w:rsidR="006458F5">
        <w:t xml:space="preserve"> to become price competitors instead of quantity competitors. </w:t>
      </w:r>
    </w:p>
    <w:p w:rsidR="006458F5" w:rsidRDefault="006458F5" w:rsidP="002D468F">
      <w:pPr>
        <w:spacing w:before="120" w:after="120" w:line="360" w:lineRule="auto"/>
      </w:pPr>
      <w:r>
        <w:t xml:space="preserve">In general, neither the CRESH approach nor our IC approach can suggest that climate change policy alone would be sufficient to change significantly the share of technologies in electricity generation mix. This will require some accompanying energy policy </w:t>
      </w:r>
      <w:proofErr w:type="spellStart"/>
      <w:r>
        <w:t>policy</w:t>
      </w:r>
      <w:proofErr w:type="spellEnd"/>
      <w:r>
        <w:t>, and this will be a topic for study in a future study.</w:t>
      </w:r>
    </w:p>
    <w:p w:rsidR="006458F5" w:rsidRDefault="006458F5" w:rsidP="006458F5">
      <w:pPr>
        <w:numPr>
          <w:ilvl w:val="0"/>
          <w:numId w:val="1"/>
        </w:numPr>
        <w:autoSpaceDE w:val="0"/>
        <w:autoSpaceDN w:val="0"/>
        <w:adjustRightInd w:val="0"/>
        <w:spacing w:before="240" w:after="0" w:line="360" w:lineRule="auto"/>
        <w:ind w:left="567" w:hanging="567"/>
        <w:jc w:val="left"/>
        <w:rPr>
          <w:b/>
          <w:bCs/>
        </w:rPr>
      </w:pPr>
      <w:r>
        <w:rPr>
          <w:b/>
          <w:bCs/>
        </w:rPr>
        <w:t>Conclusion</w:t>
      </w:r>
    </w:p>
    <w:p w:rsidR="006458F5" w:rsidRDefault="006458F5" w:rsidP="006458F5">
      <w:pPr>
        <w:spacing w:before="120" w:after="120" w:line="360" w:lineRule="auto"/>
      </w:pPr>
      <w:r>
        <w:t xml:space="preserve">In this paper we have shown a new way for disaggregating the electricity sector in a CGE model to take account of different technologies used in the sector. Compared to (top-down) approaches which still rely on aggregate production function to illustrate the (imperfect) competition between the technologies </w:t>
      </w:r>
      <w:r w:rsidR="00294574">
        <w:t xml:space="preserve">– by using the assumption of perfect competition between imperfect substitutes, we have adopted a different assumption: imperfect competition between perfect substitutes. The results of our illustrative simulation shows that the two different sets of assumptions can lead to quite different results, hence future studies may need to look more carefully at the issue of market structure in the electricity market to find solution to the market equilibrium issue rather than relying merely on a comparison between different cost </w:t>
      </w:r>
      <w:r w:rsidR="00294574" w:rsidRPr="00294574">
        <w:rPr>
          <w:i/>
        </w:rPr>
        <w:t>levels</w:t>
      </w:r>
      <w:r w:rsidR="00294574">
        <w:t xml:space="preserve"> to arrive at conclusions about the dynamic outcome in this market.</w:t>
      </w:r>
    </w:p>
    <w:p w:rsidR="00B54142" w:rsidRPr="00B54142" w:rsidRDefault="00B54142" w:rsidP="00B54142">
      <w:pPr>
        <w:autoSpaceDE w:val="0"/>
        <w:autoSpaceDN w:val="0"/>
        <w:adjustRightInd w:val="0"/>
        <w:spacing w:after="0" w:line="240" w:lineRule="auto"/>
        <w:rPr>
          <w:rFonts w:eastAsia="Calibri"/>
          <w:sz w:val="20"/>
          <w:szCs w:val="20"/>
        </w:rPr>
      </w:pPr>
      <w:r>
        <w:br w:type="column"/>
      </w:r>
      <w:r w:rsidRPr="00B54142">
        <w:rPr>
          <w:rFonts w:eastAsia="Calibri"/>
        </w:rPr>
        <w:lastRenderedPageBreak/>
        <w:t xml:space="preserve">Table </w:t>
      </w:r>
      <w:r>
        <w:rPr>
          <w:rFonts w:eastAsia="Calibri"/>
        </w:rPr>
        <w:t>1</w:t>
      </w:r>
      <w:r w:rsidRPr="00B54142">
        <w:rPr>
          <w:rFonts w:eastAsia="Calibri"/>
        </w:rPr>
        <w:t>: U.S. Cost Characteristics of Electricity Generating Technologies</w:t>
      </w:r>
    </w:p>
    <w:tbl>
      <w:tblPr>
        <w:tblStyle w:val="TableGrid1"/>
        <w:tblW w:w="0" w:type="auto"/>
        <w:tblLook w:val="04A0"/>
      </w:tblPr>
      <w:tblGrid>
        <w:gridCol w:w="1915"/>
        <w:gridCol w:w="3155"/>
        <w:gridCol w:w="1559"/>
        <w:gridCol w:w="1559"/>
        <w:gridCol w:w="1388"/>
      </w:tblGrid>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Technology</w:t>
            </w:r>
          </w:p>
        </w:tc>
        <w:tc>
          <w:tcPr>
            <w:tcW w:w="3155" w:type="dxa"/>
          </w:tcPr>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EIA Specification</w:t>
            </w:r>
          </w:p>
          <w:p w:rsidR="00B54142" w:rsidRPr="00B54142" w:rsidRDefault="00B54142" w:rsidP="00B54142">
            <w:pPr>
              <w:autoSpaceDE w:val="0"/>
              <w:autoSpaceDN w:val="0"/>
              <w:adjustRightInd w:val="0"/>
              <w:spacing w:after="0" w:line="240" w:lineRule="auto"/>
              <w:jc w:val="left"/>
              <w:rPr>
                <w:rFonts w:eastAsia="Calibri"/>
                <w:b/>
                <w:bCs/>
                <w:sz w:val="16"/>
                <w:szCs w:val="16"/>
              </w:rPr>
            </w:pPr>
          </w:p>
        </w:tc>
        <w:tc>
          <w:tcPr>
            <w:tcW w:w="1559" w:type="dxa"/>
          </w:tcPr>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Overnight Capital Cost</w:t>
            </w:r>
          </w:p>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($/kW)</w:t>
            </w:r>
          </w:p>
        </w:tc>
        <w:tc>
          <w:tcPr>
            <w:tcW w:w="1559" w:type="dxa"/>
          </w:tcPr>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Fixed O&amp;M</w:t>
            </w:r>
            <w:r w:rsidRPr="00B54142">
              <w:rPr>
                <w:rFonts w:eastAsia="Calibri"/>
                <w:b/>
                <w:bCs/>
                <w:sz w:val="16"/>
                <w:szCs w:val="16"/>
              </w:rPr>
              <w:br/>
              <w:t>Cost</w:t>
            </w:r>
          </w:p>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($/kW-yr)</w:t>
            </w:r>
          </w:p>
        </w:tc>
        <w:tc>
          <w:tcPr>
            <w:tcW w:w="1388" w:type="dxa"/>
          </w:tcPr>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Variable O&amp;M Cost</w:t>
            </w:r>
          </w:p>
          <w:p w:rsidR="00B54142" w:rsidRPr="00B54142" w:rsidRDefault="00B54142" w:rsidP="00B54142">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w:t>
            </w:r>
            <w:proofErr w:type="spellStart"/>
            <w:r w:rsidRPr="00B54142">
              <w:rPr>
                <w:rFonts w:eastAsia="Calibri"/>
                <w:b/>
                <w:bCs/>
                <w:sz w:val="16"/>
                <w:szCs w:val="16"/>
              </w:rPr>
              <w:t>MWh</w:t>
            </w:r>
            <w:proofErr w:type="spellEnd"/>
            <w:r w:rsidRPr="00B54142">
              <w:rPr>
                <w:rFonts w:eastAsia="Calibri"/>
                <w:b/>
                <w:bCs/>
                <w:sz w:val="16"/>
                <w:szCs w:val="16"/>
              </w:rPr>
              <w:t>)</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Coal</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 xml:space="preserve">Scrubbed Coal New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2,925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31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4</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Oil</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Conv. Gas/Oil Comb Cycle</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915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13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4</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Gas</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 xml:space="preserve">Advanced Gas/Oil CC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1,021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15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3</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Nuclear</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 xml:space="preserve">Adv Nuclear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5,501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93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2</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Hydro</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 xml:space="preserve">Conventional Hydroelectric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2,435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15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3</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Wind</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 xml:space="preserve">Onshore Wind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2,213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40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0</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Solar</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 xml:space="preserve">Photovoltaic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3,564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25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0</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Biomass</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Biomass CC</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4,114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106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5</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Waste</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Municipal Solid Waste</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8,312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393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9</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b/>
                <w:bCs/>
                <w:sz w:val="20"/>
                <w:szCs w:val="20"/>
              </w:rPr>
            </w:pPr>
            <w:r w:rsidRPr="00B54142">
              <w:rPr>
                <w:rFonts w:eastAsia="Calibri"/>
                <w:b/>
                <w:bCs/>
                <w:sz w:val="20"/>
                <w:szCs w:val="20"/>
              </w:rPr>
              <w:t xml:space="preserve">Other </w:t>
            </w:r>
            <w:proofErr w:type="spellStart"/>
            <w:r w:rsidRPr="00B54142">
              <w:rPr>
                <w:rFonts w:eastAsia="Calibri"/>
                <w:b/>
                <w:bCs/>
                <w:sz w:val="20"/>
                <w:szCs w:val="20"/>
              </w:rPr>
              <w:t>Renewables</w:t>
            </w:r>
            <w:proofErr w:type="spellEnd"/>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Geothermal</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2,494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113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0</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b/>
                <w:bCs/>
                <w:sz w:val="20"/>
                <w:szCs w:val="20"/>
              </w:rPr>
            </w:pPr>
            <w:r w:rsidRPr="00B54142">
              <w:rPr>
                <w:rFonts w:eastAsia="Calibri"/>
                <w:b/>
                <w:bCs/>
                <w:sz w:val="20"/>
                <w:szCs w:val="20"/>
              </w:rPr>
              <w:t>Coal CCS</w:t>
            </w:r>
          </w:p>
        </w:tc>
        <w:tc>
          <w:tcPr>
            <w:tcW w:w="3155" w:type="dxa"/>
          </w:tcPr>
          <w:p w:rsidR="00B54142" w:rsidRPr="00B54142" w:rsidRDefault="00B54142" w:rsidP="00B54142">
            <w:pPr>
              <w:autoSpaceDE w:val="0"/>
              <w:autoSpaceDN w:val="0"/>
              <w:adjustRightInd w:val="0"/>
              <w:spacing w:after="0" w:line="240" w:lineRule="auto"/>
              <w:jc w:val="left"/>
              <w:rPr>
                <w:rFonts w:eastAsia="Calibri"/>
                <w:b/>
                <w:bCs/>
                <w:sz w:val="20"/>
                <w:szCs w:val="20"/>
              </w:rPr>
            </w:pPr>
            <w:r w:rsidRPr="00B54142">
              <w:rPr>
                <w:rFonts w:eastAsia="Calibri"/>
                <w:sz w:val="20"/>
                <w:szCs w:val="20"/>
              </w:rPr>
              <w:t>Dual Unit Advanced PC with CCS</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6,567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73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8</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Oil CCS</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Advanced CC with CCS</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2,084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32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7</w:t>
            </w:r>
          </w:p>
        </w:tc>
      </w:tr>
      <w:tr w:rsidR="00B54142" w:rsidRPr="00B54142" w:rsidTr="006C084D">
        <w:tc>
          <w:tcPr>
            <w:tcW w:w="191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b/>
                <w:bCs/>
                <w:sz w:val="20"/>
                <w:szCs w:val="20"/>
              </w:rPr>
              <w:t>Gas CCS</w:t>
            </w:r>
          </w:p>
        </w:tc>
        <w:tc>
          <w:tcPr>
            <w:tcW w:w="3155" w:type="dxa"/>
          </w:tcPr>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sz w:val="20"/>
                <w:szCs w:val="20"/>
              </w:rPr>
              <w:t>Advanced CC with CCS</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2,084 </w:t>
            </w:r>
          </w:p>
        </w:tc>
        <w:tc>
          <w:tcPr>
            <w:tcW w:w="1559"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 xml:space="preserve">32 </w:t>
            </w:r>
          </w:p>
        </w:tc>
        <w:tc>
          <w:tcPr>
            <w:tcW w:w="1388" w:type="dxa"/>
          </w:tcPr>
          <w:p w:rsidR="00B54142" w:rsidRPr="00B54142" w:rsidRDefault="00B54142" w:rsidP="00B54142">
            <w:pPr>
              <w:autoSpaceDE w:val="0"/>
              <w:autoSpaceDN w:val="0"/>
              <w:adjustRightInd w:val="0"/>
              <w:spacing w:after="0" w:line="240" w:lineRule="auto"/>
              <w:jc w:val="right"/>
              <w:rPr>
                <w:rFonts w:eastAsia="Calibri"/>
                <w:sz w:val="20"/>
                <w:szCs w:val="20"/>
              </w:rPr>
            </w:pPr>
            <w:r w:rsidRPr="00B54142">
              <w:rPr>
                <w:rFonts w:eastAsia="Calibri"/>
                <w:sz w:val="20"/>
                <w:szCs w:val="20"/>
              </w:rPr>
              <w:t>7</w:t>
            </w:r>
          </w:p>
        </w:tc>
      </w:tr>
    </w:tbl>
    <w:p w:rsidR="00B54142" w:rsidRPr="00B54142" w:rsidRDefault="00B54142" w:rsidP="00B54142">
      <w:pPr>
        <w:autoSpaceDE w:val="0"/>
        <w:autoSpaceDN w:val="0"/>
        <w:adjustRightInd w:val="0"/>
        <w:spacing w:after="0" w:line="240" w:lineRule="auto"/>
        <w:jc w:val="left"/>
        <w:rPr>
          <w:rFonts w:eastAsia="Calibri"/>
          <w:sz w:val="20"/>
          <w:szCs w:val="20"/>
        </w:rPr>
      </w:pPr>
      <w:r w:rsidRPr="00B54142">
        <w:rPr>
          <w:rFonts w:eastAsia="Calibri"/>
        </w:rPr>
        <w:t>Source: EIA (2013a)</w:t>
      </w:r>
      <w:r>
        <w:rPr>
          <w:rFonts w:eastAsia="Calibri"/>
        </w:rPr>
        <w:t xml:space="preserve">, </w:t>
      </w:r>
      <w:proofErr w:type="spellStart"/>
      <w:r>
        <w:rPr>
          <w:rFonts w:eastAsia="Calibri"/>
        </w:rPr>
        <w:t>Arora</w:t>
      </w:r>
      <w:proofErr w:type="spellEnd"/>
      <w:r>
        <w:rPr>
          <w:rFonts w:eastAsia="Calibri"/>
        </w:rPr>
        <w:t xml:space="preserve"> and </w:t>
      </w:r>
      <w:proofErr w:type="spellStart"/>
      <w:proofErr w:type="gramStart"/>
      <w:r>
        <w:rPr>
          <w:rFonts w:eastAsia="Calibri"/>
        </w:rPr>
        <w:t>Cai</w:t>
      </w:r>
      <w:proofErr w:type="spellEnd"/>
      <w:proofErr w:type="gramEnd"/>
      <w:r>
        <w:rPr>
          <w:rFonts w:eastAsia="Calibri"/>
        </w:rPr>
        <w:t xml:space="preserve"> (2014)</w:t>
      </w:r>
      <w:r w:rsidRPr="00B54142">
        <w:rPr>
          <w:rFonts w:eastAsia="Calibri"/>
        </w:rPr>
        <w:t>.</w:t>
      </w:r>
    </w:p>
    <w:p w:rsidR="00D86D6B" w:rsidRDefault="00D86D6B" w:rsidP="009C1DE5">
      <w:pPr>
        <w:jc w:val="left"/>
      </w:pPr>
    </w:p>
    <w:p w:rsidR="00B54142" w:rsidRPr="00B54142" w:rsidRDefault="00B54142" w:rsidP="00B54142">
      <w:pPr>
        <w:autoSpaceDE w:val="0"/>
        <w:autoSpaceDN w:val="0"/>
        <w:adjustRightInd w:val="0"/>
        <w:spacing w:after="0" w:line="240" w:lineRule="auto"/>
        <w:rPr>
          <w:rFonts w:eastAsia="Calibri"/>
          <w:sz w:val="20"/>
          <w:szCs w:val="20"/>
        </w:rPr>
      </w:pPr>
      <w:r w:rsidRPr="00B54142">
        <w:rPr>
          <w:rFonts w:eastAsia="Calibri"/>
        </w:rPr>
        <w:t xml:space="preserve">Table </w:t>
      </w:r>
      <w:r>
        <w:rPr>
          <w:rFonts w:eastAsia="Calibri"/>
        </w:rPr>
        <w:t>2</w:t>
      </w:r>
      <w:r w:rsidRPr="00B54142">
        <w:rPr>
          <w:rFonts w:eastAsia="Calibri"/>
        </w:rPr>
        <w:t>: Electricity Generating Technologies</w:t>
      </w:r>
      <w:r>
        <w:rPr>
          <w:rFonts w:eastAsia="Calibri"/>
        </w:rPr>
        <w:t xml:space="preserve"> in Japan in 2007</w:t>
      </w:r>
    </w:p>
    <w:tbl>
      <w:tblPr>
        <w:tblStyle w:val="TableGrid1"/>
        <w:tblW w:w="0" w:type="auto"/>
        <w:tblLook w:val="04A0"/>
      </w:tblPr>
      <w:tblGrid>
        <w:gridCol w:w="1796"/>
        <w:gridCol w:w="972"/>
        <w:gridCol w:w="973"/>
        <w:gridCol w:w="972"/>
        <w:gridCol w:w="973"/>
        <w:gridCol w:w="972"/>
        <w:gridCol w:w="973"/>
        <w:gridCol w:w="972"/>
        <w:gridCol w:w="973"/>
      </w:tblGrid>
      <w:tr w:rsidR="006C084D" w:rsidRPr="00B54142" w:rsidTr="001E3CD3">
        <w:tc>
          <w:tcPr>
            <w:tcW w:w="1796" w:type="dxa"/>
          </w:tcPr>
          <w:p w:rsidR="006C084D" w:rsidRPr="000D109B" w:rsidRDefault="006C084D" w:rsidP="006C084D">
            <w:pPr>
              <w:autoSpaceDE w:val="0"/>
              <w:autoSpaceDN w:val="0"/>
              <w:adjustRightInd w:val="0"/>
              <w:spacing w:after="0" w:line="240" w:lineRule="auto"/>
              <w:jc w:val="left"/>
              <w:rPr>
                <w:rFonts w:eastAsia="Calibri"/>
                <w:b/>
                <w:bCs/>
                <w:sz w:val="20"/>
                <w:szCs w:val="20"/>
              </w:rPr>
            </w:pPr>
            <w:r w:rsidRPr="000D109B">
              <w:rPr>
                <w:rFonts w:eastAsia="Calibri"/>
                <w:b/>
                <w:bCs/>
                <w:sz w:val="20"/>
                <w:szCs w:val="20"/>
              </w:rPr>
              <w:t>Technology</w:t>
            </w:r>
          </w:p>
        </w:tc>
        <w:tc>
          <w:tcPr>
            <w:tcW w:w="972" w:type="dxa"/>
          </w:tcPr>
          <w:p w:rsidR="006C084D" w:rsidRPr="001E3CD3" w:rsidRDefault="006C084D"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Output share</w:t>
            </w:r>
            <w:r w:rsidRPr="001E3CD3">
              <w:rPr>
                <w:rFonts w:eastAsia="Calibri"/>
                <w:b/>
                <w:bCs/>
                <w:sz w:val="16"/>
                <w:szCs w:val="16"/>
              </w:rPr>
              <w:br/>
              <w:t>in 2007</w:t>
            </w:r>
          </w:p>
          <w:p w:rsidR="006C084D" w:rsidRPr="001E3CD3" w:rsidRDefault="006C084D" w:rsidP="006C084D">
            <w:pPr>
              <w:autoSpaceDE w:val="0"/>
              <w:autoSpaceDN w:val="0"/>
              <w:adjustRightInd w:val="0"/>
              <w:spacing w:after="0" w:line="240" w:lineRule="auto"/>
              <w:jc w:val="left"/>
              <w:rPr>
                <w:rFonts w:eastAsia="Calibri"/>
                <w:b/>
                <w:bCs/>
                <w:sz w:val="16"/>
                <w:szCs w:val="16"/>
              </w:rPr>
            </w:pPr>
          </w:p>
        </w:tc>
        <w:tc>
          <w:tcPr>
            <w:tcW w:w="973" w:type="dxa"/>
          </w:tcPr>
          <w:p w:rsidR="006C084D" w:rsidRPr="001E3CD3" w:rsidRDefault="006C084D"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Output</w:t>
            </w:r>
          </w:p>
          <w:p w:rsidR="006C084D" w:rsidRPr="001E3CD3" w:rsidRDefault="006C084D" w:rsidP="006204AA">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(Billion kWh)</w:t>
            </w:r>
          </w:p>
        </w:tc>
        <w:tc>
          <w:tcPr>
            <w:tcW w:w="972" w:type="dxa"/>
          </w:tcPr>
          <w:p w:rsidR="006C084D" w:rsidRPr="001E3CD3" w:rsidRDefault="006C084D" w:rsidP="006204AA">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Capacity</w:t>
            </w:r>
            <w:r w:rsidRPr="001E3CD3">
              <w:rPr>
                <w:rFonts w:eastAsia="Calibri"/>
                <w:b/>
                <w:bCs/>
                <w:sz w:val="16"/>
                <w:szCs w:val="16"/>
              </w:rPr>
              <w:br/>
              <w:t>(Million kW)</w:t>
            </w:r>
          </w:p>
        </w:tc>
        <w:tc>
          <w:tcPr>
            <w:tcW w:w="973" w:type="dxa"/>
          </w:tcPr>
          <w:p w:rsidR="006C084D" w:rsidRPr="001E3CD3" w:rsidRDefault="006C084D"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Capital input</w:t>
            </w:r>
            <w:r w:rsidRPr="001E3CD3">
              <w:rPr>
                <w:rFonts w:eastAsia="Calibri"/>
                <w:b/>
                <w:bCs/>
                <w:sz w:val="16"/>
                <w:szCs w:val="16"/>
              </w:rPr>
              <w:br/>
              <w:t>($</w:t>
            </w:r>
            <w:proofErr w:type="spellStart"/>
            <w:r w:rsidRPr="001E3CD3">
              <w:rPr>
                <w:rFonts w:eastAsia="Calibri"/>
                <w:b/>
                <w:bCs/>
                <w:sz w:val="16"/>
                <w:szCs w:val="16"/>
              </w:rPr>
              <w:t>million</w:t>
            </w:r>
            <w:proofErr w:type="spellEnd"/>
            <w:r w:rsidRPr="001E3CD3">
              <w:rPr>
                <w:rFonts w:eastAsia="Calibri"/>
                <w:b/>
                <w:bCs/>
                <w:sz w:val="16"/>
                <w:szCs w:val="16"/>
              </w:rPr>
              <w:t>)</w:t>
            </w:r>
          </w:p>
        </w:tc>
        <w:tc>
          <w:tcPr>
            <w:tcW w:w="972" w:type="dxa"/>
          </w:tcPr>
          <w:p w:rsidR="006C084D" w:rsidRPr="001E3CD3" w:rsidRDefault="006C084D" w:rsidP="006C084D">
            <w:pPr>
              <w:autoSpaceDE w:val="0"/>
              <w:autoSpaceDN w:val="0"/>
              <w:adjustRightInd w:val="0"/>
              <w:spacing w:after="0" w:line="240" w:lineRule="auto"/>
              <w:jc w:val="left"/>
              <w:rPr>
                <w:rFonts w:eastAsia="Calibri"/>
                <w:b/>
                <w:bCs/>
                <w:sz w:val="16"/>
                <w:szCs w:val="16"/>
              </w:rPr>
            </w:pPr>
            <w:proofErr w:type="spellStart"/>
            <w:r w:rsidRPr="001E3CD3">
              <w:rPr>
                <w:rFonts w:eastAsia="Calibri"/>
                <w:b/>
                <w:bCs/>
                <w:sz w:val="16"/>
                <w:szCs w:val="16"/>
              </w:rPr>
              <w:t>Labour</w:t>
            </w:r>
            <w:proofErr w:type="spellEnd"/>
            <w:r w:rsidRPr="001E3CD3">
              <w:rPr>
                <w:rFonts w:eastAsia="Calibri"/>
                <w:b/>
                <w:bCs/>
                <w:sz w:val="16"/>
                <w:szCs w:val="16"/>
              </w:rPr>
              <w:t xml:space="preserve"> input</w:t>
            </w:r>
            <w:r w:rsidRPr="001E3CD3">
              <w:rPr>
                <w:rFonts w:eastAsia="Calibri"/>
                <w:b/>
                <w:bCs/>
                <w:sz w:val="16"/>
                <w:szCs w:val="16"/>
              </w:rPr>
              <w:br/>
              <w:t>($</w:t>
            </w:r>
            <w:proofErr w:type="spellStart"/>
            <w:r w:rsidRPr="001E3CD3">
              <w:rPr>
                <w:rFonts w:eastAsia="Calibri"/>
                <w:b/>
                <w:bCs/>
                <w:sz w:val="16"/>
                <w:szCs w:val="16"/>
              </w:rPr>
              <w:t>million</w:t>
            </w:r>
            <w:proofErr w:type="spellEnd"/>
            <w:r w:rsidRPr="001E3CD3">
              <w:rPr>
                <w:rFonts w:eastAsia="Calibri"/>
                <w:b/>
                <w:bCs/>
                <w:sz w:val="16"/>
                <w:szCs w:val="16"/>
              </w:rPr>
              <w:t>)</w:t>
            </w:r>
          </w:p>
        </w:tc>
        <w:tc>
          <w:tcPr>
            <w:tcW w:w="973" w:type="dxa"/>
          </w:tcPr>
          <w:p w:rsidR="006C084D" w:rsidRPr="001E3CD3" w:rsidRDefault="006C084D"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Fuel input</w:t>
            </w:r>
            <w:r w:rsidRPr="001E3CD3">
              <w:rPr>
                <w:rFonts w:eastAsia="Calibri"/>
                <w:b/>
                <w:bCs/>
                <w:sz w:val="16"/>
                <w:szCs w:val="16"/>
              </w:rPr>
              <w:br/>
              <w:t>($</w:t>
            </w:r>
            <w:proofErr w:type="spellStart"/>
            <w:r w:rsidRPr="001E3CD3">
              <w:rPr>
                <w:rFonts w:eastAsia="Calibri"/>
                <w:b/>
                <w:bCs/>
                <w:sz w:val="16"/>
                <w:szCs w:val="16"/>
              </w:rPr>
              <w:t>million</w:t>
            </w:r>
            <w:proofErr w:type="spellEnd"/>
            <w:r w:rsidRPr="001E3CD3">
              <w:rPr>
                <w:rFonts w:eastAsia="Calibri"/>
                <w:b/>
                <w:bCs/>
                <w:sz w:val="16"/>
                <w:szCs w:val="16"/>
              </w:rPr>
              <w:t>)</w:t>
            </w:r>
          </w:p>
        </w:tc>
        <w:tc>
          <w:tcPr>
            <w:tcW w:w="972" w:type="dxa"/>
          </w:tcPr>
          <w:p w:rsidR="006C084D" w:rsidRPr="001E3CD3" w:rsidRDefault="001E3CD3"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Non-fuel inputs</w:t>
            </w:r>
          </w:p>
          <w:p w:rsidR="001E3CD3" w:rsidRPr="001E3CD3" w:rsidRDefault="001E3CD3"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w:t>
            </w:r>
            <w:proofErr w:type="spellStart"/>
            <w:r w:rsidRPr="001E3CD3">
              <w:rPr>
                <w:rFonts w:eastAsia="Calibri"/>
                <w:b/>
                <w:bCs/>
                <w:sz w:val="16"/>
                <w:szCs w:val="16"/>
              </w:rPr>
              <w:t>million</w:t>
            </w:r>
            <w:proofErr w:type="spellEnd"/>
            <w:r w:rsidRPr="001E3CD3">
              <w:rPr>
                <w:rFonts w:eastAsia="Calibri"/>
                <w:b/>
                <w:bCs/>
                <w:sz w:val="16"/>
                <w:szCs w:val="16"/>
              </w:rPr>
              <w:t>)</w:t>
            </w:r>
          </w:p>
        </w:tc>
        <w:tc>
          <w:tcPr>
            <w:tcW w:w="973" w:type="dxa"/>
          </w:tcPr>
          <w:p w:rsidR="006C084D" w:rsidRPr="001E3CD3" w:rsidRDefault="001E3CD3"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Supply price</w:t>
            </w:r>
          </w:p>
          <w:p w:rsidR="001E3CD3" w:rsidRPr="001E3CD3" w:rsidRDefault="001E3CD3" w:rsidP="006C084D">
            <w:pPr>
              <w:autoSpaceDE w:val="0"/>
              <w:autoSpaceDN w:val="0"/>
              <w:adjustRightInd w:val="0"/>
              <w:spacing w:after="0" w:line="240" w:lineRule="auto"/>
              <w:jc w:val="left"/>
              <w:rPr>
                <w:rFonts w:eastAsia="Calibri"/>
                <w:b/>
                <w:bCs/>
                <w:sz w:val="16"/>
                <w:szCs w:val="16"/>
              </w:rPr>
            </w:pPr>
            <w:r w:rsidRPr="001E3CD3">
              <w:rPr>
                <w:rFonts w:eastAsia="Calibri"/>
                <w:b/>
                <w:bCs/>
                <w:sz w:val="16"/>
                <w:szCs w:val="16"/>
              </w:rPr>
              <w:t>($/kWh)</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Coal</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0.285</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307.5</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43.87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8628.8</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3227.6</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6423.4</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12024.6</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0.099</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Oil</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0.115</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124.0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78.61</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4836.7</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946.6</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25865.2</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4847.9</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0.294</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Gas</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0.257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276.9</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54.50</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3741.8</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1817.1</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15351.3</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10830.3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0.115</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Nuclear</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0.248</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267.3</w:t>
            </w:r>
          </w:p>
        </w:tc>
        <w:tc>
          <w:tcPr>
            <w:tcW w:w="972" w:type="dxa"/>
            <w:vAlign w:val="bottom"/>
          </w:tcPr>
          <w:p w:rsidR="001E3CD3" w:rsidRPr="000D109B" w:rsidRDefault="001E3CD3" w:rsidP="001E3CD3">
            <w:pPr>
              <w:spacing w:after="0" w:line="240" w:lineRule="auto"/>
              <w:jc w:val="right"/>
              <w:rPr>
                <w:rFonts w:ascii="Arial" w:hAnsi="Arial" w:cs="Arial"/>
                <w:sz w:val="20"/>
                <w:szCs w:val="20"/>
              </w:rPr>
            </w:pPr>
            <w:r w:rsidRPr="000D109B">
              <w:rPr>
                <w:rFonts w:ascii="Arial" w:hAnsi="Arial" w:cs="Arial"/>
                <w:sz w:val="20"/>
                <w:szCs w:val="20"/>
              </w:rPr>
              <w:t>47.47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17560.7</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4696.8</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4597.6</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10455.7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0.140</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Hydro</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0.064</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68.6</w:t>
            </w:r>
          </w:p>
        </w:tc>
        <w:tc>
          <w:tcPr>
            <w:tcW w:w="972" w:type="dxa"/>
            <w:vAlign w:val="bottom"/>
          </w:tcPr>
          <w:p w:rsidR="001E3CD3" w:rsidRPr="000D109B" w:rsidRDefault="001E3CD3" w:rsidP="001E3CD3">
            <w:pPr>
              <w:spacing w:after="0" w:line="240" w:lineRule="auto"/>
              <w:jc w:val="right"/>
              <w:rPr>
                <w:rFonts w:ascii="Arial" w:hAnsi="Arial" w:cs="Arial"/>
                <w:sz w:val="20"/>
                <w:szCs w:val="20"/>
              </w:rPr>
            </w:pPr>
            <w:r w:rsidRPr="000D109B">
              <w:rPr>
                <w:rFonts w:ascii="Arial" w:hAnsi="Arial" w:cs="Arial"/>
                <w:sz w:val="20"/>
                <w:szCs w:val="20"/>
              </w:rPr>
              <w:t>47.31</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6197.5</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450.3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2683.8</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0.136</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Wind</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2.6</w:t>
            </w:r>
          </w:p>
        </w:tc>
        <w:tc>
          <w:tcPr>
            <w:tcW w:w="972" w:type="dxa"/>
            <w:vAlign w:val="bottom"/>
          </w:tcPr>
          <w:p w:rsidR="001E3CD3" w:rsidRPr="000D109B" w:rsidRDefault="001E3CD3" w:rsidP="001E3CD3">
            <w:pPr>
              <w:spacing w:after="0" w:line="240" w:lineRule="auto"/>
              <w:jc w:val="right"/>
              <w:rPr>
                <w:rFonts w:ascii="Arial" w:hAnsi="Arial" w:cs="Arial"/>
                <w:sz w:val="20"/>
                <w:szCs w:val="20"/>
              </w:rPr>
            </w:pPr>
            <w:r w:rsidRPr="000D109B">
              <w:rPr>
                <w:rFonts w:ascii="Arial" w:hAnsi="Arial" w:cs="Arial"/>
                <w:sz w:val="20"/>
                <w:szCs w:val="20"/>
              </w:rPr>
              <w:t>1.53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181.8</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16.7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102.6</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0.115</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Solar</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2.0</w:t>
            </w:r>
          </w:p>
        </w:tc>
        <w:tc>
          <w:tcPr>
            <w:tcW w:w="972" w:type="dxa"/>
            <w:vAlign w:val="bottom"/>
          </w:tcPr>
          <w:p w:rsidR="001E3CD3" w:rsidRPr="000D109B" w:rsidRDefault="001E3CD3" w:rsidP="001E3CD3">
            <w:pPr>
              <w:spacing w:after="0" w:line="240" w:lineRule="auto"/>
              <w:jc w:val="right"/>
              <w:rPr>
                <w:rFonts w:ascii="Arial" w:hAnsi="Arial" w:cs="Arial"/>
                <w:sz w:val="20"/>
                <w:szCs w:val="20"/>
              </w:rPr>
            </w:pPr>
            <w:r w:rsidRPr="000D109B">
              <w:rPr>
                <w:rFonts w:ascii="Arial" w:hAnsi="Arial" w:cs="Arial"/>
                <w:sz w:val="20"/>
                <w:szCs w:val="20"/>
              </w:rPr>
              <w:t>1.92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367.9</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8.0</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78.8</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0.226</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Biomass</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0.016</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16.8</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2.13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588.3</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399.2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655.7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0.098</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Waste</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0.006</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6.2</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0.79</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441.8</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467.5</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243.8</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0.185</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b/>
                <w:bCs/>
                <w:sz w:val="20"/>
                <w:szCs w:val="20"/>
              </w:rPr>
            </w:pPr>
            <w:r w:rsidRPr="00B54142">
              <w:rPr>
                <w:rFonts w:eastAsia="Calibri"/>
                <w:b/>
                <w:bCs/>
                <w:sz w:val="20"/>
                <w:szCs w:val="20"/>
              </w:rPr>
              <w:t xml:space="preserve">Other </w:t>
            </w:r>
            <w:proofErr w:type="spellStart"/>
            <w:r w:rsidRPr="00B54142">
              <w:rPr>
                <w:rFonts w:eastAsia="Calibri"/>
                <w:b/>
                <w:bCs/>
                <w:sz w:val="20"/>
                <w:szCs w:val="20"/>
              </w:rPr>
              <w:t>Renewables</w:t>
            </w:r>
            <w:proofErr w:type="spellEnd"/>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3.0</w:t>
            </w:r>
          </w:p>
        </w:tc>
        <w:tc>
          <w:tcPr>
            <w:tcW w:w="972" w:type="dxa"/>
            <w:vAlign w:val="bottom"/>
          </w:tcPr>
          <w:p w:rsidR="001E3CD3" w:rsidRPr="000D109B" w:rsidRDefault="001E3CD3" w:rsidP="001E3CD3">
            <w:pPr>
              <w:spacing w:after="0" w:line="240" w:lineRule="auto"/>
              <w:jc w:val="right"/>
              <w:rPr>
                <w:rFonts w:ascii="Arial" w:hAnsi="Arial" w:cs="Arial"/>
                <w:sz w:val="20"/>
                <w:szCs w:val="20"/>
              </w:rPr>
            </w:pPr>
            <w:r w:rsidRPr="000D109B">
              <w:rPr>
                <w:rFonts w:ascii="Arial" w:hAnsi="Arial" w:cs="Arial"/>
                <w:sz w:val="20"/>
                <w:szCs w:val="20"/>
              </w:rPr>
              <w:t>0.53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71.4</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54.7</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119.0</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0.081</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b/>
                <w:bCs/>
                <w:sz w:val="20"/>
                <w:szCs w:val="20"/>
              </w:rPr>
            </w:pPr>
            <w:r w:rsidRPr="00B54142">
              <w:rPr>
                <w:rFonts w:eastAsia="Calibri"/>
                <w:b/>
                <w:bCs/>
                <w:sz w:val="20"/>
                <w:szCs w:val="20"/>
              </w:rPr>
              <w:t>Coal CCS</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0.001</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1.1</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0.18</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77.6</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24.5</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27.0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42.2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0.159</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Oil CCS</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0.001</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1.1</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1.23</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172.5</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16.0</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324.0</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42.2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0.514</w:t>
            </w:r>
          </w:p>
        </w:tc>
      </w:tr>
      <w:tr w:rsidR="001E3CD3" w:rsidRPr="00B54142" w:rsidTr="001E3CD3">
        <w:tc>
          <w:tcPr>
            <w:tcW w:w="1796" w:type="dxa"/>
          </w:tcPr>
          <w:p w:rsidR="001E3CD3" w:rsidRPr="00B54142" w:rsidRDefault="001E3CD3" w:rsidP="001E3CD3">
            <w:pPr>
              <w:autoSpaceDE w:val="0"/>
              <w:autoSpaceDN w:val="0"/>
              <w:adjustRightInd w:val="0"/>
              <w:spacing w:after="0" w:line="240" w:lineRule="auto"/>
              <w:jc w:val="left"/>
              <w:rPr>
                <w:rFonts w:eastAsia="Calibri"/>
                <w:sz w:val="20"/>
                <w:szCs w:val="20"/>
              </w:rPr>
            </w:pPr>
            <w:r w:rsidRPr="00B54142">
              <w:rPr>
                <w:rFonts w:eastAsia="Calibri"/>
                <w:b/>
                <w:bCs/>
                <w:sz w:val="20"/>
                <w:szCs w:val="20"/>
              </w:rPr>
              <w:t>Gas CCS</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0.001</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1.1</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0.25</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34.5</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16.0</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71.7</w:t>
            </w:r>
          </w:p>
        </w:tc>
        <w:tc>
          <w:tcPr>
            <w:tcW w:w="972"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42.2</w:t>
            </w:r>
          </w:p>
        </w:tc>
        <w:tc>
          <w:tcPr>
            <w:tcW w:w="973" w:type="dxa"/>
            <w:vAlign w:val="bottom"/>
          </w:tcPr>
          <w:p w:rsidR="001E3CD3"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0.152</w:t>
            </w:r>
          </w:p>
        </w:tc>
      </w:tr>
      <w:tr w:rsidR="006C084D" w:rsidRPr="00B54142" w:rsidTr="001E3CD3">
        <w:tc>
          <w:tcPr>
            <w:tcW w:w="1796" w:type="dxa"/>
          </w:tcPr>
          <w:p w:rsidR="006C084D" w:rsidRPr="00B54142" w:rsidRDefault="006C084D" w:rsidP="001E3CD3">
            <w:pPr>
              <w:autoSpaceDE w:val="0"/>
              <w:autoSpaceDN w:val="0"/>
              <w:adjustRightInd w:val="0"/>
              <w:spacing w:after="0" w:line="240" w:lineRule="auto"/>
              <w:jc w:val="left"/>
              <w:rPr>
                <w:rFonts w:eastAsia="Calibri"/>
                <w:b/>
                <w:bCs/>
                <w:sz w:val="20"/>
                <w:szCs w:val="20"/>
              </w:rPr>
            </w:pPr>
            <w:r>
              <w:rPr>
                <w:rFonts w:eastAsia="Calibri"/>
                <w:b/>
                <w:bCs/>
                <w:sz w:val="20"/>
                <w:szCs w:val="20"/>
              </w:rPr>
              <w:t>Total</w:t>
            </w:r>
          </w:p>
        </w:tc>
        <w:tc>
          <w:tcPr>
            <w:tcW w:w="972" w:type="dxa"/>
            <w:vAlign w:val="bottom"/>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1</w:t>
            </w:r>
          </w:p>
        </w:tc>
        <w:tc>
          <w:tcPr>
            <w:tcW w:w="973" w:type="dxa"/>
            <w:vAlign w:val="bottom"/>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1078.2</w:t>
            </w:r>
          </w:p>
        </w:tc>
        <w:tc>
          <w:tcPr>
            <w:tcW w:w="972" w:type="dxa"/>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280.32</w:t>
            </w:r>
          </w:p>
        </w:tc>
        <w:tc>
          <w:tcPr>
            <w:tcW w:w="973" w:type="dxa"/>
            <w:vAlign w:val="bottom"/>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8628.8</w:t>
            </w:r>
          </w:p>
        </w:tc>
        <w:tc>
          <w:tcPr>
            <w:tcW w:w="972" w:type="dxa"/>
            <w:vAlign w:val="bottom"/>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3227.6</w:t>
            </w:r>
          </w:p>
        </w:tc>
        <w:tc>
          <w:tcPr>
            <w:tcW w:w="973" w:type="dxa"/>
            <w:vAlign w:val="bottom"/>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54334.0</w:t>
            </w:r>
          </w:p>
        </w:tc>
        <w:tc>
          <w:tcPr>
            <w:tcW w:w="972" w:type="dxa"/>
            <w:vAlign w:val="bottom"/>
          </w:tcPr>
          <w:p w:rsidR="006C084D" w:rsidRPr="000D109B" w:rsidRDefault="006C084D" w:rsidP="001E3CD3">
            <w:pPr>
              <w:spacing w:after="0" w:line="240" w:lineRule="auto"/>
              <w:jc w:val="right"/>
              <w:rPr>
                <w:rFonts w:ascii="Calibri" w:hAnsi="Calibri"/>
                <w:sz w:val="20"/>
                <w:szCs w:val="20"/>
              </w:rPr>
            </w:pPr>
            <w:r w:rsidRPr="000D109B">
              <w:rPr>
                <w:rFonts w:ascii="Calibri" w:hAnsi="Calibri"/>
                <w:sz w:val="20"/>
                <w:szCs w:val="20"/>
              </w:rPr>
              <w:t>42168.8</w:t>
            </w:r>
          </w:p>
        </w:tc>
        <w:tc>
          <w:tcPr>
            <w:tcW w:w="973" w:type="dxa"/>
          </w:tcPr>
          <w:p w:rsidR="006C084D" w:rsidRPr="000D109B" w:rsidRDefault="001E3CD3" w:rsidP="001E3CD3">
            <w:pPr>
              <w:spacing w:after="0" w:line="240" w:lineRule="auto"/>
              <w:jc w:val="right"/>
              <w:rPr>
                <w:rFonts w:ascii="Calibri" w:hAnsi="Calibri"/>
                <w:sz w:val="20"/>
                <w:szCs w:val="20"/>
              </w:rPr>
            </w:pPr>
            <w:r w:rsidRPr="000D109B">
              <w:rPr>
                <w:rFonts w:ascii="Calibri" w:hAnsi="Calibri"/>
                <w:sz w:val="20"/>
                <w:szCs w:val="20"/>
              </w:rPr>
              <w:t>0.141</w:t>
            </w:r>
          </w:p>
        </w:tc>
      </w:tr>
    </w:tbl>
    <w:p w:rsidR="00B54142" w:rsidRDefault="00B54142" w:rsidP="00B54142">
      <w:pPr>
        <w:jc w:val="left"/>
      </w:pPr>
    </w:p>
    <w:p w:rsidR="00657C8A" w:rsidRPr="00B54142" w:rsidRDefault="00A30786" w:rsidP="00657C8A">
      <w:pPr>
        <w:autoSpaceDE w:val="0"/>
        <w:autoSpaceDN w:val="0"/>
        <w:adjustRightInd w:val="0"/>
        <w:spacing w:after="0" w:line="240" w:lineRule="auto"/>
        <w:rPr>
          <w:rFonts w:eastAsia="Calibri"/>
          <w:sz w:val="20"/>
          <w:szCs w:val="20"/>
        </w:rPr>
      </w:pPr>
      <w:r>
        <w:br w:type="column"/>
      </w:r>
      <w:r w:rsidR="00657C8A" w:rsidRPr="00B54142">
        <w:rPr>
          <w:rFonts w:eastAsia="Calibri"/>
        </w:rPr>
        <w:lastRenderedPageBreak/>
        <w:t xml:space="preserve">Table </w:t>
      </w:r>
      <w:r w:rsidR="00657C8A">
        <w:rPr>
          <w:rFonts w:eastAsia="Calibri"/>
        </w:rPr>
        <w:t>3</w:t>
      </w:r>
      <w:r w:rsidR="00657C8A" w:rsidRPr="00B54142">
        <w:rPr>
          <w:rFonts w:eastAsia="Calibri"/>
        </w:rPr>
        <w:t xml:space="preserve">: </w:t>
      </w:r>
      <w:r w:rsidR="00657C8A">
        <w:rPr>
          <w:rFonts w:eastAsia="Calibri"/>
        </w:rPr>
        <w:t xml:space="preserve">Price elasticity of demand for the residual demand curve when some suppliers are </w:t>
      </w:r>
      <w:proofErr w:type="spellStart"/>
      <w:r w:rsidR="00657C8A">
        <w:rPr>
          <w:rFonts w:eastAsia="Calibri"/>
        </w:rPr>
        <w:t>olo</w:t>
      </w:r>
      <w:proofErr w:type="spellEnd"/>
      <w:r w:rsidR="00657C8A">
        <w:rPr>
          <w:rFonts w:eastAsia="Calibri"/>
        </w:rPr>
        <w:t>\</w:t>
      </w:r>
      <w:proofErr w:type="spellStart"/>
      <w:r w:rsidR="00657C8A">
        <w:rPr>
          <w:rFonts w:eastAsia="Calibri"/>
        </w:rPr>
        <w:t>igopolists</w:t>
      </w:r>
      <w:proofErr w:type="spellEnd"/>
    </w:p>
    <w:tbl>
      <w:tblPr>
        <w:tblStyle w:val="TableGrid1"/>
        <w:tblW w:w="0" w:type="auto"/>
        <w:tblLayout w:type="fixed"/>
        <w:tblLook w:val="04A0"/>
      </w:tblPr>
      <w:tblGrid>
        <w:gridCol w:w="2376"/>
        <w:gridCol w:w="1134"/>
      </w:tblGrid>
      <w:tr w:rsidR="00722642" w:rsidRPr="00B54142" w:rsidTr="00722642">
        <w:tc>
          <w:tcPr>
            <w:tcW w:w="2376" w:type="dxa"/>
          </w:tcPr>
          <w:p w:rsidR="00722642" w:rsidRPr="00B54142" w:rsidRDefault="00722642" w:rsidP="00C90653">
            <w:pPr>
              <w:autoSpaceDE w:val="0"/>
              <w:autoSpaceDN w:val="0"/>
              <w:adjustRightInd w:val="0"/>
              <w:spacing w:after="0" w:line="240" w:lineRule="auto"/>
              <w:jc w:val="left"/>
              <w:rPr>
                <w:rFonts w:eastAsia="Calibri"/>
                <w:b/>
                <w:bCs/>
                <w:sz w:val="16"/>
                <w:szCs w:val="16"/>
              </w:rPr>
            </w:pPr>
            <w:proofErr w:type="spellStart"/>
            <w:r>
              <w:rPr>
                <w:rFonts w:eastAsia="Calibri"/>
                <w:b/>
                <w:bCs/>
                <w:sz w:val="16"/>
                <w:szCs w:val="16"/>
              </w:rPr>
              <w:t>Oligopolist</w:t>
            </w:r>
            <w:proofErr w:type="spellEnd"/>
            <w:r>
              <w:rPr>
                <w:rFonts w:eastAsia="Calibri"/>
                <w:b/>
                <w:bCs/>
                <w:sz w:val="16"/>
                <w:szCs w:val="16"/>
              </w:rPr>
              <w:t xml:space="preserve"> price leader(s)</w:t>
            </w:r>
          </w:p>
        </w:tc>
        <w:tc>
          <w:tcPr>
            <w:tcW w:w="1134" w:type="dxa"/>
          </w:tcPr>
          <w:p w:rsidR="00722642" w:rsidRPr="00B54142" w:rsidRDefault="00722642" w:rsidP="00C90653">
            <w:pPr>
              <w:autoSpaceDE w:val="0"/>
              <w:autoSpaceDN w:val="0"/>
              <w:adjustRightInd w:val="0"/>
              <w:spacing w:after="0" w:line="240" w:lineRule="auto"/>
              <w:jc w:val="left"/>
              <w:rPr>
                <w:rFonts w:eastAsia="Calibri"/>
                <w:sz w:val="20"/>
                <w:szCs w:val="20"/>
              </w:rPr>
            </w:pPr>
            <w:r>
              <w:rPr>
                <w:rFonts w:eastAsia="Calibri"/>
                <w:b/>
                <w:bCs/>
                <w:sz w:val="20"/>
                <w:szCs w:val="20"/>
              </w:rPr>
              <w:t xml:space="preserve"> </w:t>
            </w:r>
          </w:p>
        </w:tc>
      </w:tr>
      <w:tr w:rsidR="00722642" w:rsidRPr="00B54142" w:rsidTr="00722642">
        <w:tc>
          <w:tcPr>
            <w:tcW w:w="2376" w:type="dxa"/>
          </w:tcPr>
          <w:p w:rsidR="00722642" w:rsidRPr="00B54142" w:rsidRDefault="00722642" w:rsidP="00C90653">
            <w:pPr>
              <w:autoSpaceDE w:val="0"/>
              <w:autoSpaceDN w:val="0"/>
              <w:adjustRightInd w:val="0"/>
              <w:spacing w:after="0" w:line="240" w:lineRule="auto"/>
              <w:jc w:val="left"/>
              <w:rPr>
                <w:rFonts w:eastAsia="Calibri"/>
                <w:sz w:val="20"/>
                <w:szCs w:val="20"/>
              </w:rPr>
            </w:pPr>
            <w:proofErr w:type="spellStart"/>
            <w:r>
              <w:rPr>
                <w:rFonts w:eastAsia="Calibri"/>
                <w:b/>
                <w:bCs/>
                <w:sz w:val="20"/>
                <w:szCs w:val="20"/>
              </w:rPr>
              <w:t>ElyCoa</w:t>
            </w:r>
            <w:proofErr w:type="spellEnd"/>
          </w:p>
        </w:tc>
        <w:tc>
          <w:tcPr>
            <w:tcW w:w="1134" w:type="dxa"/>
            <w:vAlign w:val="bottom"/>
          </w:tcPr>
          <w:p w:rsidR="00722642" w:rsidRPr="001E3CD3" w:rsidRDefault="00722642" w:rsidP="00C90653">
            <w:pPr>
              <w:spacing w:after="0" w:line="240" w:lineRule="auto"/>
              <w:jc w:val="right"/>
              <w:rPr>
                <w:rFonts w:ascii="Calibri" w:hAnsi="Calibri"/>
              </w:rPr>
            </w:pPr>
            <w:r>
              <w:rPr>
                <w:rFonts w:ascii="Calibri" w:hAnsi="Calibri"/>
              </w:rPr>
              <w:t>-3.82</w:t>
            </w:r>
          </w:p>
        </w:tc>
      </w:tr>
      <w:tr w:rsidR="00722642" w:rsidRPr="00B54142" w:rsidTr="00722642">
        <w:tc>
          <w:tcPr>
            <w:tcW w:w="2376" w:type="dxa"/>
          </w:tcPr>
          <w:p w:rsidR="00722642" w:rsidRPr="00B54142" w:rsidRDefault="00722642" w:rsidP="00C90653">
            <w:pPr>
              <w:autoSpaceDE w:val="0"/>
              <w:autoSpaceDN w:val="0"/>
              <w:adjustRightInd w:val="0"/>
              <w:spacing w:after="0" w:line="240" w:lineRule="auto"/>
              <w:jc w:val="left"/>
              <w:rPr>
                <w:rFonts w:eastAsia="Calibri"/>
                <w:sz w:val="20"/>
                <w:szCs w:val="20"/>
              </w:rPr>
            </w:pPr>
            <w:proofErr w:type="spellStart"/>
            <w:r>
              <w:rPr>
                <w:rFonts w:eastAsia="Calibri"/>
                <w:b/>
                <w:bCs/>
                <w:sz w:val="20"/>
                <w:szCs w:val="20"/>
              </w:rPr>
              <w:t>ElyCoa</w:t>
            </w:r>
            <w:proofErr w:type="spellEnd"/>
            <w:r>
              <w:rPr>
                <w:rFonts w:eastAsia="Calibri"/>
                <w:b/>
                <w:bCs/>
                <w:sz w:val="20"/>
                <w:szCs w:val="20"/>
              </w:rPr>
              <w:t xml:space="preserve">, </w:t>
            </w:r>
            <w:proofErr w:type="spellStart"/>
            <w:r>
              <w:rPr>
                <w:rFonts w:eastAsia="Calibri"/>
                <w:b/>
                <w:bCs/>
                <w:sz w:val="20"/>
                <w:szCs w:val="20"/>
              </w:rPr>
              <w:t>ElyNu</w:t>
            </w:r>
            <w:proofErr w:type="spellEnd"/>
          </w:p>
        </w:tc>
        <w:tc>
          <w:tcPr>
            <w:tcW w:w="1134" w:type="dxa"/>
            <w:vAlign w:val="bottom"/>
          </w:tcPr>
          <w:p w:rsidR="00722642" w:rsidRPr="001E3CD3" w:rsidRDefault="00722642" w:rsidP="00722642">
            <w:pPr>
              <w:spacing w:after="0" w:line="240" w:lineRule="auto"/>
              <w:jc w:val="right"/>
              <w:rPr>
                <w:rFonts w:ascii="Calibri" w:hAnsi="Calibri"/>
              </w:rPr>
            </w:pPr>
            <w:r>
              <w:rPr>
                <w:rFonts w:ascii="Calibri" w:hAnsi="Calibri"/>
              </w:rPr>
              <w:t>-2.04</w:t>
            </w:r>
          </w:p>
        </w:tc>
      </w:tr>
      <w:tr w:rsidR="00722642" w:rsidRPr="00B54142" w:rsidTr="00722642">
        <w:tc>
          <w:tcPr>
            <w:tcW w:w="2376" w:type="dxa"/>
          </w:tcPr>
          <w:p w:rsidR="00722642" w:rsidRPr="00B54142" w:rsidRDefault="00722642" w:rsidP="00C90653">
            <w:pPr>
              <w:autoSpaceDE w:val="0"/>
              <w:autoSpaceDN w:val="0"/>
              <w:adjustRightInd w:val="0"/>
              <w:spacing w:after="0" w:line="240" w:lineRule="auto"/>
              <w:jc w:val="left"/>
              <w:rPr>
                <w:rFonts w:eastAsia="Calibri"/>
                <w:sz w:val="20"/>
                <w:szCs w:val="20"/>
              </w:rPr>
            </w:pPr>
            <w:proofErr w:type="spellStart"/>
            <w:r>
              <w:rPr>
                <w:rFonts w:eastAsia="Calibri"/>
                <w:b/>
                <w:bCs/>
                <w:sz w:val="20"/>
                <w:szCs w:val="20"/>
              </w:rPr>
              <w:t>ElyCoa</w:t>
            </w:r>
            <w:proofErr w:type="spellEnd"/>
            <w:r>
              <w:rPr>
                <w:rFonts w:eastAsia="Calibri"/>
                <w:b/>
                <w:bCs/>
                <w:sz w:val="20"/>
                <w:szCs w:val="20"/>
              </w:rPr>
              <w:t xml:space="preserve">, </w:t>
            </w:r>
            <w:proofErr w:type="spellStart"/>
            <w:r>
              <w:rPr>
                <w:rFonts w:eastAsia="Calibri"/>
                <w:b/>
                <w:bCs/>
                <w:sz w:val="20"/>
                <w:szCs w:val="20"/>
              </w:rPr>
              <w:t>ElyNu</w:t>
            </w:r>
            <w:proofErr w:type="spellEnd"/>
            <w:r>
              <w:rPr>
                <w:rFonts w:eastAsia="Calibri"/>
                <w:b/>
                <w:bCs/>
                <w:sz w:val="20"/>
                <w:szCs w:val="20"/>
              </w:rPr>
              <w:t xml:space="preserve">, </w:t>
            </w:r>
            <w:proofErr w:type="spellStart"/>
            <w:r>
              <w:rPr>
                <w:rFonts w:eastAsia="Calibri"/>
                <w:b/>
                <w:bCs/>
                <w:sz w:val="20"/>
                <w:szCs w:val="20"/>
              </w:rPr>
              <w:t>ElyHyd</w:t>
            </w:r>
            <w:proofErr w:type="spellEnd"/>
          </w:p>
        </w:tc>
        <w:tc>
          <w:tcPr>
            <w:tcW w:w="1134" w:type="dxa"/>
            <w:vAlign w:val="bottom"/>
          </w:tcPr>
          <w:p w:rsidR="00722642" w:rsidRPr="001E3CD3" w:rsidRDefault="00722642" w:rsidP="00722642">
            <w:pPr>
              <w:spacing w:after="0" w:line="240" w:lineRule="auto"/>
              <w:jc w:val="right"/>
              <w:rPr>
                <w:rFonts w:ascii="Calibri" w:hAnsi="Calibri"/>
              </w:rPr>
            </w:pPr>
            <w:r>
              <w:rPr>
                <w:rFonts w:ascii="Calibri" w:hAnsi="Calibri"/>
              </w:rPr>
              <w:t>-1.72</w:t>
            </w:r>
          </w:p>
        </w:tc>
      </w:tr>
    </w:tbl>
    <w:p w:rsidR="00657C8A" w:rsidRDefault="00657C8A" w:rsidP="00657C8A">
      <w:pPr>
        <w:jc w:val="left"/>
      </w:pPr>
    </w:p>
    <w:p w:rsidR="00A30786" w:rsidRPr="00B54142" w:rsidRDefault="00A30786" w:rsidP="00A30786">
      <w:pPr>
        <w:autoSpaceDE w:val="0"/>
        <w:autoSpaceDN w:val="0"/>
        <w:adjustRightInd w:val="0"/>
        <w:spacing w:after="0" w:line="240" w:lineRule="auto"/>
        <w:rPr>
          <w:rFonts w:eastAsia="Calibri"/>
          <w:sz w:val="20"/>
          <w:szCs w:val="20"/>
        </w:rPr>
      </w:pPr>
      <w:r w:rsidRPr="00B54142">
        <w:rPr>
          <w:rFonts w:eastAsia="Calibri"/>
        </w:rPr>
        <w:t xml:space="preserve">Table </w:t>
      </w:r>
      <w:r w:rsidR="00722642">
        <w:rPr>
          <w:rFonts w:eastAsia="Calibri"/>
        </w:rPr>
        <w:t>4</w:t>
      </w:r>
      <w:r w:rsidRPr="00B54142">
        <w:rPr>
          <w:rFonts w:eastAsia="Calibri"/>
        </w:rPr>
        <w:t xml:space="preserve">: </w:t>
      </w:r>
      <w:r>
        <w:rPr>
          <w:rFonts w:eastAsia="Calibri"/>
        </w:rPr>
        <w:t>Price elasticities of demand for fossil fuel technologie</w:t>
      </w:r>
      <w:r w:rsidR="00A3258A">
        <w:rPr>
          <w:rFonts w:eastAsia="Calibri"/>
        </w:rPr>
        <w:t>s used for calibrating CRESH substitution parameters</w:t>
      </w:r>
    </w:p>
    <w:tbl>
      <w:tblPr>
        <w:tblStyle w:val="TableGrid1"/>
        <w:tblW w:w="0" w:type="auto"/>
        <w:tblLook w:val="04A0"/>
      </w:tblPr>
      <w:tblGrid>
        <w:gridCol w:w="1796"/>
        <w:gridCol w:w="972"/>
        <w:gridCol w:w="973"/>
        <w:gridCol w:w="972"/>
      </w:tblGrid>
      <w:tr w:rsidR="00A30786" w:rsidRPr="00B54142" w:rsidTr="00C90653">
        <w:tc>
          <w:tcPr>
            <w:tcW w:w="1796" w:type="dxa"/>
          </w:tcPr>
          <w:p w:rsidR="00A30786" w:rsidRPr="00B54142" w:rsidRDefault="00A30786" w:rsidP="00C90653">
            <w:pPr>
              <w:autoSpaceDE w:val="0"/>
              <w:autoSpaceDN w:val="0"/>
              <w:adjustRightInd w:val="0"/>
              <w:spacing w:after="0" w:line="240" w:lineRule="auto"/>
              <w:jc w:val="left"/>
              <w:rPr>
                <w:rFonts w:eastAsia="Calibri"/>
                <w:b/>
                <w:bCs/>
                <w:sz w:val="16"/>
                <w:szCs w:val="16"/>
              </w:rPr>
            </w:pPr>
            <w:r w:rsidRPr="00B54142">
              <w:rPr>
                <w:rFonts w:eastAsia="Calibri"/>
                <w:b/>
                <w:bCs/>
                <w:sz w:val="16"/>
                <w:szCs w:val="16"/>
              </w:rPr>
              <w:t>Technology</w:t>
            </w:r>
          </w:p>
        </w:tc>
        <w:tc>
          <w:tcPr>
            <w:tcW w:w="972" w:type="dxa"/>
          </w:tcPr>
          <w:p w:rsidR="00A30786" w:rsidRPr="00B54142" w:rsidRDefault="00A30786" w:rsidP="00C90653">
            <w:pPr>
              <w:autoSpaceDE w:val="0"/>
              <w:autoSpaceDN w:val="0"/>
              <w:adjustRightInd w:val="0"/>
              <w:spacing w:after="0" w:line="240" w:lineRule="auto"/>
              <w:jc w:val="left"/>
              <w:rPr>
                <w:rFonts w:eastAsia="Calibri"/>
                <w:sz w:val="20"/>
                <w:szCs w:val="20"/>
              </w:rPr>
            </w:pPr>
            <w:proofErr w:type="spellStart"/>
            <w:r w:rsidRPr="00B54142">
              <w:rPr>
                <w:rFonts w:eastAsia="Calibri"/>
                <w:b/>
                <w:bCs/>
                <w:sz w:val="20"/>
                <w:szCs w:val="20"/>
              </w:rPr>
              <w:t>Coal</w:t>
            </w:r>
            <w:r>
              <w:rPr>
                <w:rFonts w:eastAsia="Calibri"/>
                <w:b/>
                <w:bCs/>
                <w:sz w:val="20"/>
                <w:szCs w:val="20"/>
              </w:rPr>
              <w:t>tec</w:t>
            </w:r>
            <w:proofErr w:type="spellEnd"/>
          </w:p>
        </w:tc>
        <w:tc>
          <w:tcPr>
            <w:tcW w:w="973" w:type="dxa"/>
          </w:tcPr>
          <w:p w:rsidR="00A30786" w:rsidRPr="00B54142" w:rsidRDefault="00A30786" w:rsidP="00C90653">
            <w:pPr>
              <w:autoSpaceDE w:val="0"/>
              <w:autoSpaceDN w:val="0"/>
              <w:adjustRightInd w:val="0"/>
              <w:spacing w:after="0" w:line="240" w:lineRule="auto"/>
              <w:jc w:val="left"/>
              <w:rPr>
                <w:rFonts w:eastAsia="Calibri"/>
                <w:sz w:val="20"/>
                <w:szCs w:val="20"/>
              </w:rPr>
            </w:pPr>
            <w:proofErr w:type="spellStart"/>
            <w:r w:rsidRPr="00B54142">
              <w:rPr>
                <w:rFonts w:eastAsia="Calibri"/>
                <w:b/>
                <w:bCs/>
                <w:sz w:val="20"/>
                <w:szCs w:val="20"/>
              </w:rPr>
              <w:t>Coal</w:t>
            </w:r>
            <w:r>
              <w:rPr>
                <w:rFonts w:eastAsia="Calibri"/>
                <w:b/>
                <w:bCs/>
                <w:sz w:val="20"/>
                <w:szCs w:val="20"/>
              </w:rPr>
              <w:t>tec</w:t>
            </w:r>
            <w:proofErr w:type="spellEnd"/>
          </w:p>
        </w:tc>
        <w:tc>
          <w:tcPr>
            <w:tcW w:w="972" w:type="dxa"/>
          </w:tcPr>
          <w:p w:rsidR="00A30786" w:rsidRPr="00B54142" w:rsidRDefault="00A30786" w:rsidP="00C90653">
            <w:pPr>
              <w:autoSpaceDE w:val="0"/>
              <w:autoSpaceDN w:val="0"/>
              <w:adjustRightInd w:val="0"/>
              <w:spacing w:after="0" w:line="240" w:lineRule="auto"/>
              <w:jc w:val="left"/>
              <w:rPr>
                <w:rFonts w:eastAsia="Calibri"/>
                <w:sz w:val="20"/>
                <w:szCs w:val="20"/>
              </w:rPr>
            </w:pPr>
            <w:proofErr w:type="spellStart"/>
            <w:r w:rsidRPr="00B54142">
              <w:rPr>
                <w:rFonts w:eastAsia="Calibri"/>
                <w:b/>
                <w:bCs/>
                <w:sz w:val="20"/>
                <w:szCs w:val="20"/>
              </w:rPr>
              <w:t>Coal</w:t>
            </w:r>
            <w:r>
              <w:rPr>
                <w:rFonts w:eastAsia="Calibri"/>
                <w:b/>
                <w:bCs/>
                <w:sz w:val="20"/>
                <w:szCs w:val="20"/>
              </w:rPr>
              <w:t>tec</w:t>
            </w:r>
            <w:proofErr w:type="spellEnd"/>
          </w:p>
        </w:tc>
      </w:tr>
      <w:tr w:rsidR="00A30786" w:rsidRPr="00B54142" w:rsidTr="00C90653">
        <w:tc>
          <w:tcPr>
            <w:tcW w:w="1796" w:type="dxa"/>
          </w:tcPr>
          <w:p w:rsidR="00A30786" w:rsidRPr="00B54142" w:rsidRDefault="00A30786" w:rsidP="00C90653">
            <w:pPr>
              <w:autoSpaceDE w:val="0"/>
              <w:autoSpaceDN w:val="0"/>
              <w:adjustRightInd w:val="0"/>
              <w:spacing w:after="0" w:line="240" w:lineRule="auto"/>
              <w:jc w:val="left"/>
              <w:rPr>
                <w:rFonts w:eastAsia="Calibri"/>
                <w:sz w:val="20"/>
                <w:szCs w:val="20"/>
              </w:rPr>
            </w:pPr>
            <w:proofErr w:type="spellStart"/>
            <w:r w:rsidRPr="00B54142">
              <w:rPr>
                <w:rFonts w:eastAsia="Calibri"/>
                <w:b/>
                <w:bCs/>
                <w:sz w:val="20"/>
                <w:szCs w:val="20"/>
              </w:rPr>
              <w:t>Coal</w:t>
            </w:r>
            <w:r>
              <w:rPr>
                <w:rFonts w:eastAsia="Calibri"/>
                <w:b/>
                <w:bCs/>
                <w:sz w:val="20"/>
                <w:szCs w:val="20"/>
              </w:rPr>
              <w:t>tec</w:t>
            </w:r>
            <w:proofErr w:type="spellEnd"/>
          </w:p>
        </w:tc>
        <w:tc>
          <w:tcPr>
            <w:tcW w:w="972" w:type="dxa"/>
            <w:vAlign w:val="bottom"/>
          </w:tcPr>
          <w:p w:rsidR="00A30786" w:rsidRPr="001E3CD3" w:rsidRDefault="00A30786" w:rsidP="00A30786">
            <w:pPr>
              <w:spacing w:after="0" w:line="240" w:lineRule="auto"/>
              <w:jc w:val="right"/>
              <w:rPr>
                <w:rFonts w:ascii="Calibri" w:hAnsi="Calibri"/>
              </w:rPr>
            </w:pPr>
            <w:r>
              <w:rPr>
                <w:rFonts w:ascii="Calibri" w:hAnsi="Calibri"/>
              </w:rPr>
              <w:t>-</w:t>
            </w:r>
            <w:r w:rsidRPr="001E3CD3">
              <w:rPr>
                <w:rFonts w:ascii="Calibri" w:hAnsi="Calibri"/>
              </w:rPr>
              <w:t>0.</w:t>
            </w:r>
            <w:r>
              <w:rPr>
                <w:rFonts w:ascii="Calibri" w:hAnsi="Calibri"/>
              </w:rPr>
              <w:t>46</w:t>
            </w:r>
          </w:p>
        </w:tc>
        <w:tc>
          <w:tcPr>
            <w:tcW w:w="973" w:type="dxa"/>
            <w:vAlign w:val="bottom"/>
          </w:tcPr>
          <w:p w:rsidR="00A30786" w:rsidRPr="001E3CD3" w:rsidRDefault="00A30786" w:rsidP="00C90653">
            <w:pPr>
              <w:spacing w:after="0" w:line="240" w:lineRule="auto"/>
              <w:jc w:val="right"/>
              <w:rPr>
                <w:rFonts w:ascii="Calibri" w:hAnsi="Calibri"/>
              </w:rPr>
            </w:pPr>
            <w:r>
              <w:rPr>
                <w:rFonts w:ascii="Calibri" w:hAnsi="Calibri"/>
              </w:rPr>
              <w:t>.07</w:t>
            </w:r>
          </w:p>
        </w:tc>
        <w:tc>
          <w:tcPr>
            <w:tcW w:w="972" w:type="dxa"/>
            <w:vAlign w:val="bottom"/>
          </w:tcPr>
          <w:p w:rsidR="00A30786" w:rsidRPr="001E3CD3" w:rsidRDefault="00A30786" w:rsidP="00C90653">
            <w:pPr>
              <w:spacing w:after="0" w:line="240" w:lineRule="auto"/>
              <w:jc w:val="right"/>
              <w:rPr>
                <w:rFonts w:ascii="Calibri" w:hAnsi="Calibri"/>
              </w:rPr>
            </w:pPr>
            <w:r>
              <w:rPr>
                <w:rFonts w:ascii="Calibri" w:hAnsi="Calibri"/>
              </w:rPr>
              <w:t>.10</w:t>
            </w:r>
          </w:p>
        </w:tc>
      </w:tr>
      <w:tr w:rsidR="00A30786" w:rsidRPr="00B54142" w:rsidTr="00C90653">
        <w:tc>
          <w:tcPr>
            <w:tcW w:w="1796" w:type="dxa"/>
          </w:tcPr>
          <w:p w:rsidR="00A30786" w:rsidRPr="00B54142" w:rsidRDefault="00A30786" w:rsidP="00C90653">
            <w:pPr>
              <w:autoSpaceDE w:val="0"/>
              <w:autoSpaceDN w:val="0"/>
              <w:adjustRightInd w:val="0"/>
              <w:spacing w:after="0" w:line="240" w:lineRule="auto"/>
              <w:jc w:val="left"/>
              <w:rPr>
                <w:rFonts w:eastAsia="Calibri"/>
                <w:sz w:val="20"/>
                <w:szCs w:val="20"/>
              </w:rPr>
            </w:pPr>
            <w:proofErr w:type="spellStart"/>
            <w:r w:rsidRPr="00B54142">
              <w:rPr>
                <w:rFonts w:eastAsia="Calibri"/>
                <w:b/>
                <w:bCs/>
                <w:sz w:val="20"/>
                <w:szCs w:val="20"/>
              </w:rPr>
              <w:t>Oil</w:t>
            </w:r>
            <w:r>
              <w:rPr>
                <w:rFonts w:eastAsia="Calibri"/>
                <w:b/>
                <w:bCs/>
                <w:sz w:val="20"/>
                <w:szCs w:val="20"/>
              </w:rPr>
              <w:t>tec</w:t>
            </w:r>
            <w:proofErr w:type="spellEnd"/>
          </w:p>
        </w:tc>
        <w:tc>
          <w:tcPr>
            <w:tcW w:w="972" w:type="dxa"/>
            <w:vAlign w:val="bottom"/>
          </w:tcPr>
          <w:p w:rsidR="00A30786" w:rsidRPr="001E3CD3" w:rsidRDefault="00A3258A" w:rsidP="00C90653">
            <w:pPr>
              <w:spacing w:after="0" w:line="240" w:lineRule="auto"/>
              <w:jc w:val="right"/>
              <w:rPr>
                <w:rFonts w:ascii="Calibri" w:hAnsi="Calibri"/>
              </w:rPr>
            </w:pPr>
            <w:r>
              <w:rPr>
                <w:rFonts w:ascii="Calibri" w:hAnsi="Calibri"/>
              </w:rPr>
              <w:t>.07</w:t>
            </w:r>
          </w:p>
        </w:tc>
        <w:tc>
          <w:tcPr>
            <w:tcW w:w="973" w:type="dxa"/>
            <w:vAlign w:val="bottom"/>
          </w:tcPr>
          <w:p w:rsidR="00A30786" w:rsidRPr="001E3CD3" w:rsidRDefault="00A30786" w:rsidP="00C90653">
            <w:pPr>
              <w:spacing w:after="0" w:line="240" w:lineRule="auto"/>
              <w:jc w:val="right"/>
              <w:rPr>
                <w:rFonts w:ascii="Calibri" w:hAnsi="Calibri"/>
              </w:rPr>
            </w:pPr>
            <w:r>
              <w:rPr>
                <w:rFonts w:ascii="Calibri" w:hAnsi="Calibri"/>
              </w:rPr>
              <w:t>-.48</w:t>
            </w:r>
          </w:p>
        </w:tc>
        <w:tc>
          <w:tcPr>
            <w:tcW w:w="972" w:type="dxa"/>
            <w:vAlign w:val="bottom"/>
          </w:tcPr>
          <w:p w:rsidR="00A30786" w:rsidRPr="001E3CD3" w:rsidRDefault="00A30786" w:rsidP="00C90653">
            <w:pPr>
              <w:spacing w:after="0" w:line="240" w:lineRule="auto"/>
              <w:jc w:val="right"/>
              <w:rPr>
                <w:rFonts w:ascii="Calibri" w:hAnsi="Calibri"/>
              </w:rPr>
            </w:pPr>
            <w:r>
              <w:rPr>
                <w:rFonts w:ascii="Calibri" w:hAnsi="Calibri"/>
              </w:rPr>
              <w:t>.32</w:t>
            </w:r>
          </w:p>
        </w:tc>
      </w:tr>
      <w:tr w:rsidR="00A30786" w:rsidRPr="00B54142" w:rsidTr="00C90653">
        <w:tc>
          <w:tcPr>
            <w:tcW w:w="1796" w:type="dxa"/>
          </w:tcPr>
          <w:p w:rsidR="00A30786" w:rsidRPr="00B54142" w:rsidRDefault="00A30786" w:rsidP="00C90653">
            <w:pPr>
              <w:autoSpaceDE w:val="0"/>
              <w:autoSpaceDN w:val="0"/>
              <w:adjustRightInd w:val="0"/>
              <w:spacing w:after="0" w:line="240" w:lineRule="auto"/>
              <w:jc w:val="left"/>
              <w:rPr>
                <w:rFonts w:eastAsia="Calibri"/>
                <w:sz w:val="20"/>
                <w:szCs w:val="20"/>
              </w:rPr>
            </w:pPr>
            <w:r w:rsidRPr="00B54142">
              <w:rPr>
                <w:rFonts w:eastAsia="Calibri"/>
                <w:b/>
                <w:bCs/>
                <w:sz w:val="20"/>
                <w:szCs w:val="20"/>
              </w:rPr>
              <w:t>Gas</w:t>
            </w:r>
            <w:r>
              <w:rPr>
                <w:rFonts w:eastAsia="Calibri"/>
                <w:b/>
                <w:bCs/>
                <w:sz w:val="20"/>
                <w:szCs w:val="20"/>
              </w:rPr>
              <w:t>tec</w:t>
            </w:r>
          </w:p>
        </w:tc>
        <w:tc>
          <w:tcPr>
            <w:tcW w:w="972" w:type="dxa"/>
            <w:vAlign w:val="bottom"/>
          </w:tcPr>
          <w:p w:rsidR="00A30786" w:rsidRPr="001E3CD3" w:rsidRDefault="00A3258A" w:rsidP="00C90653">
            <w:pPr>
              <w:spacing w:after="0" w:line="240" w:lineRule="auto"/>
              <w:jc w:val="right"/>
              <w:rPr>
                <w:rFonts w:ascii="Calibri" w:hAnsi="Calibri"/>
              </w:rPr>
            </w:pPr>
            <w:r>
              <w:rPr>
                <w:rFonts w:ascii="Calibri" w:hAnsi="Calibri"/>
              </w:rPr>
              <w:t>.10</w:t>
            </w:r>
          </w:p>
        </w:tc>
        <w:tc>
          <w:tcPr>
            <w:tcW w:w="973" w:type="dxa"/>
            <w:vAlign w:val="bottom"/>
          </w:tcPr>
          <w:p w:rsidR="00A30786" w:rsidRPr="001E3CD3" w:rsidRDefault="00A3258A" w:rsidP="00C90653">
            <w:pPr>
              <w:spacing w:after="0" w:line="240" w:lineRule="auto"/>
              <w:jc w:val="right"/>
              <w:rPr>
                <w:rFonts w:ascii="Calibri" w:hAnsi="Calibri"/>
              </w:rPr>
            </w:pPr>
            <w:r>
              <w:rPr>
                <w:rFonts w:ascii="Calibri" w:hAnsi="Calibri"/>
              </w:rPr>
              <w:t>.32</w:t>
            </w:r>
          </w:p>
        </w:tc>
        <w:tc>
          <w:tcPr>
            <w:tcW w:w="972" w:type="dxa"/>
            <w:vAlign w:val="bottom"/>
          </w:tcPr>
          <w:p w:rsidR="00A30786" w:rsidRPr="001E3CD3" w:rsidRDefault="00A30786" w:rsidP="00C90653">
            <w:pPr>
              <w:spacing w:after="0" w:line="240" w:lineRule="auto"/>
              <w:jc w:val="right"/>
              <w:rPr>
                <w:rFonts w:ascii="Calibri" w:hAnsi="Calibri"/>
              </w:rPr>
            </w:pPr>
            <w:r>
              <w:rPr>
                <w:rFonts w:ascii="Calibri" w:hAnsi="Calibri"/>
              </w:rPr>
              <w:t>-1.12</w:t>
            </w:r>
          </w:p>
        </w:tc>
      </w:tr>
    </w:tbl>
    <w:p w:rsidR="00A30786" w:rsidRDefault="00A30786" w:rsidP="00A30786">
      <w:pPr>
        <w:jc w:val="left"/>
      </w:pPr>
    </w:p>
    <w:p w:rsidR="00A30786" w:rsidRPr="00B54142" w:rsidRDefault="00A30786" w:rsidP="00A30786">
      <w:pPr>
        <w:autoSpaceDE w:val="0"/>
        <w:autoSpaceDN w:val="0"/>
        <w:adjustRightInd w:val="0"/>
        <w:spacing w:after="0" w:line="240" w:lineRule="auto"/>
        <w:rPr>
          <w:rFonts w:eastAsia="Calibri"/>
          <w:sz w:val="20"/>
          <w:szCs w:val="20"/>
        </w:rPr>
      </w:pPr>
      <w:r w:rsidRPr="00B54142">
        <w:rPr>
          <w:rFonts w:eastAsia="Calibri"/>
        </w:rPr>
        <w:t xml:space="preserve">Table </w:t>
      </w:r>
      <w:r w:rsidR="000F25F7">
        <w:rPr>
          <w:rFonts w:eastAsia="Calibri"/>
        </w:rPr>
        <w:t>5</w:t>
      </w:r>
      <w:proofErr w:type="gramStart"/>
      <w:r w:rsidRPr="00B54142">
        <w:rPr>
          <w:rFonts w:eastAsia="Calibri"/>
        </w:rPr>
        <w:t>:</w:t>
      </w:r>
      <w:r w:rsidR="00A3258A">
        <w:rPr>
          <w:rFonts w:eastAsia="Calibri"/>
        </w:rPr>
        <w:t>Technology</w:t>
      </w:r>
      <w:proofErr w:type="gramEnd"/>
      <w:r w:rsidR="00A3258A">
        <w:rPr>
          <w:rFonts w:eastAsia="Calibri"/>
        </w:rPr>
        <w:t xml:space="preserve"> </w:t>
      </w:r>
      <w:r w:rsidR="00FC671C">
        <w:rPr>
          <w:rFonts w:eastAsia="Calibri"/>
        </w:rPr>
        <w:t>parameters</w:t>
      </w:r>
    </w:p>
    <w:tbl>
      <w:tblPr>
        <w:tblStyle w:val="TableGrid1"/>
        <w:tblW w:w="8877" w:type="dxa"/>
        <w:tblLayout w:type="fixed"/>
        <w:tblLook w:val="04A0"/>
      </w:tblPr>
      <w:tblGrid>
        <w:gridCol w:w="1242"/>
        <w:gridCol w:w="851"/>
        <w:gridCol w:w="678"/>
        <w:gridCol w:w="678"/>
        <w:gridCol w:w="679"/>
        <w:gridCol w:w="678"/>
        <w:gridCol w:w="678"/>
        <w:gridCol w:w="679"/>
        <w:gridCol w:w="678"/>
        <w:gridCol w:w="678"/>
        <w:gridCol w:w="679"/>
        <w:gridCol w:w="679"/>
      </w:tblGrid>
      <w:tr w:rsidR="00B90EA7" w:rsidRPr="00B54142" w:rsidTr="00B90EA7">
        <w:trPr>
          <w:trHeight w:val="477"/>
        </w:trPr>
        <w:tc>
          <w:tcPr>
            <w:tcW w:w="1242" w:type="dxa"/>
            <w:vMerge w:val="restart"/>
            <w:vAlign w:val="center"/>
          </w:tcPr>
          <w:p w:rsidR="00B90EA7" w:rsidRPr="00D14EC2" w:rsidRDefault="00B90EA7" w:rsidP="00B90EA7">
            <w:pPr>
              <w:autoSpaceDE w:val="0"/>
              <w:autoSpaceDN w:val="0"/>
              <w:adjustRightInd w:val="0"/>
              <w:spacing w:after="0" w:line="240" w:lineRule="auto"/>
              <w:jc w:val="center"/>
              <w:rPr>
                <w:rFonts w:eastAsia="Calibri"/>
                <w:b/>
                <w:bCs/>
                <w:sz w:val="18"/>
                <w:szCs w:val="18"/>
              </w:rPr>
            </w:pPr>
            <w:r w:rsidRPr="00D14EC2">
              <w:rPr>
                <w:rFonts w:eastAsia="Calibri"/>
                <w:b/>
                <w:bCs/>
                <w:sz w:val="18"/>
                <w:szCs w:val="18"/>
              </w:rPr>
              <w:t>Technology</w:t>
            </w:r>
          </w:p>
        </w:tc>
        <w:tc>
          <w:tcPr>
            <w:tcW w:w="851" w:type="dxa"/>
            <w:vMerge w:val="restart"/>
            <w:vAlign w:val="center"/>
          </w:tcPr>
          <w:p w:rsidR="00B90EA7" w:rsidRPr="00D14EC2" w:rsidRDefault="00B90EA7" w:rsidP="00B90EA7">
            <w:pPr>
              <w:autoSpaceDE w:val="0"/>
              <w:autoSpaceDN w:val="0"/>
              <w:adjustRightInd w:val="0"/>
              <w:spacing w:after="0" w:line="240" w:lineRule="auto"/>
              <w:jc w:val="center"/>
              <w:rPr>
                <w:rFonts w:eastAsia="Calibri"/>
                <w:b/>
                <w:bCs/>
                <w:sz w:val="18"/>
                <w:szCs w:val="18"/>
              </w:rPr>
            </w:pPr>
            <w:r w:rsidRPr="00D14EC2">
              <w:rPr>
                <w:sz w:val="18"/>
                <w:szCs w:val="18"/>
              </w:rPr>
              <w:t>CRESH parameter</w:t>
            </w:r>
            <w:r>
              <w:rPr>
                <w:sz w:val="18"/>
                <w:szCs w:val="18"/>
              </w:rPr>
              <w:br/>
              <w:t>(</w:t>
            </w:r>
            <w:r w:rsidRPr="00D14EC2">
              <w:rPr>
                <w:position w:val="-10"/>
                <w:sz w:val="18"/>
                <w:szCs w:val="18"/>
              </w:rPr>
              <w:object w:dxaOrig="260" w:dyaOrig="300">
                <v:shape id="_x0000_i1070" type="#_x0000_t75" style="width:13.5pt;height:15pt" o:ole="">
                  <v:imagedata r:id="rId82" o:title=""/>
                </v:shape>
                <o:OLEObject Type="Embed" ProgID="Equation.3" ShapeID="_x0000_i1070" DrawAspect="Content" ObjectID="_1471069917" r:id="rId92"/>
              </w:object>
            </w:r>
            <w:r w:rsidRPr="00D14EC2">
              <w:rPr>
                <w:sz w:val="18"/>
                <w:szCs w:val="18"/>
              </w:rPr>
              <w:t>)</w:t>
            </w:r>
          </w:p>
        </w:tc>
        <w:tc>
          <w:tcPr>
            <w:tcW w:w="6784" w:type="dxa"/>
            <w:gridSpan w:val="10"/>
          </w:tcPr>
          <w:p w:rsidR="00B90EA7" w:rsidRPr="00D14EC2" w:rsidRDefault="00B90EA7" w:rsidP="00D14EC2">
            <w:pPr>
              <w:autoSpaceDE w:val="0"/>
              <w:autoSpaceDN w:val="0"/>
              <w:adjustRightInd w:val="0"/>
              <w:spacing w:after="0" w:line="240" w:lineRule="auto"/>
              <w:jc w:val="center"/>
              <w:rPr>
                <w:rFonts w:eastAsia="Calibri"/>
                <w:b/>
                <w:bCs/>
                <w:sz w:val="18"/>
                <w:szCs w:val="18"/>
              </w:rPr>
            </w:pPr>
            <w:r>
              <w:rPr>
                <w:rFonts w:eastAsia="Calibri"/>
                <w:b/>
                <w:bCs/>
                <w:sz w:val="18"/>
                <w:szCs w:val="18"/>
              </w:rPr>
              <w:t xml:space="preserve">Own and cross </w:t>
            </w:r>
            <w:r w:rsidRPr="00D14EC2">
              <w:rPr>
                <w:rFonts w:eastAsia="Calibri"/>
                <w:b/>
                <w:bCs/>
                <w:sz w:val="18"/>
                <w:szCs w:val="18"/>
              </w:rPr>
              <w:t>price</w:t>
            </w:r>
            <w:r>
              <w:rPr>
                <w:rFonts w:eastAsia="Calibri"/>
                <w:b/>
                <w:bCs/>
                <w:sz w:val="18"/>
                <w:szCs w:val="18"/>
              </w:rPr>
              <w:t xml:space="preserve"> </w:t>
            </w:r>
            <w:r w:rsidRPr="00D14EC2">
              <w:rPr>
                <w:rFonts w:eastAsia="Calibri"/>
                <w:b/>
                <w:bCs/>
                <w:sz w:val="18"/>
                <w:szCs w:val="18"/>
              </w:rPr>
              <w:t>elasticitie</w:t>
            </w:r>
            <w:r>
              <w:rPr>
                <w:rFonts w:eastAsia="Calibri"/>
                <w:b/>
                <w:bCs/>
                <w:sz w:val="18"/>
                <w:szCs w:val="18"/>
              </w:rPr>
              <w:t>s</w:t>
            </w:r>
          </w:p>
          <w:p w:rsidR="00B90EA7" w:rsidRDefault="00B90EA7" w:rsidP="00D14EC2">
            <w:pPr>
              <w:autoSpaceDE w:val="0"/>
              <w:autoSpaceDN w:val="0"/>
              <w:adjustRightInd w:val="0"/>
              <w:spacing w:after="0" w:line="240" w:lineRule="auto"/>
              <w:jc w:val="center"/>
              <w:rPr>
                <w:rFonts w:eastAsia="Calibri"/>
                <w:b/>
                <w:bCs/>
                <w:sz w:val="18"/>
                <w:szCs w:val="18"/>
              </w:rPr>
            </w:pPr>
            <w:r w:rsidRPr="00D14EC2">
              <w:rPr>
                <w:rFonts w:eastAsia="Calibri"/>
                <w:b/>
                <w:bCs/>
                <w:sz w:val="18"/>
                <w:szCs w:val="18"/>
              </w:rPr>
              <w:t>(</w:t>
            </w:r>
            <w:r w:rsidRPr="002051E7">
              <w:rPr>
                <w:position w:val="-14"/>
              </w:rPr>
              <w:object w:dxaOrig="260" w:dyaOrig="340">
                <v:shape id="_x0000_i1071" type="#_x0000_t75" style="width:12.75pt;height:17.25pt" o:ole="">
                  <v:imagedata r:id="rId93" o:title=""/>
                </v:shape>
                <o:OLEObject Type="Embed" ProgID="Equation.3" ShapeID="_x0000_i1071" DrawAspect="Content" ObjectID="_1471069918" r:id="rId94"/>
              </w:object>
            </w:r>
            <w:r w:rsidRPr="00D14EC2">
              <w:rPr>
                <w:sz w:val="18"/>
                <w:szCs w:val="18"/>
              </w:rPr>
              <w:t>)</w:t>
            </w:r>
          </w:p>
        </w:tc>
      </w:tr>
      <w:tr w:rsidR="00B90EA7" w:rsidRPr="00B54142" w:rsidTr="00B90EA7">
        <w:trPr>
          <w:trHeight w:val="477"/>
        </w:trPr>
        <w:tc>
          <w:tcPr>
            <w:tcW w:w="1242" w:type="dxa"/>
            <w:vMerge/>
          </w:tcPr>
          <w:p w:rsidR="00B90EA7" w:rsidRPr="00D14EC2" w:rsidRDefault="00B90EA7" w:rsidP="00C90653">
            <w:pPr>
              <w:autoSpaceDE w:val="0"/>
              <w:autoSpaceDN w:val="0"/>
              <w:adjustRightInd w:val="0"/>
              <w:spacing w:after="0" w:line="240" w:lineRule="auto"/>
              <w:jc w:val="left"/>
              <w:rPr>
                <w:rFonts w:eastAsia="Calibri"/>
                <w:b/>
                <w:bCs/>
                <w:sz w:val="18"/>
                <w:szCs w:val="18"/>
              </w:rPr>
            </w:pPr>
          </w:p>
        </w:tc>
        <w:tc>
          <w:tcPr>
            <w:tcW w:w="851" w:type="dxa"/>
            <w:vMerge/>
            <w:vAlign w:val="center"/>
          </w:tcPr>
          <w:p w:rsidR="00B90EA7" w:rsidRPr="00473C51" w:rsidRDefault="00B90EA7" w:rsidP="00D14EC2">
            <w:pPr>
              <w:autoSpaceDE w:val="0"/>
              <w:autoSpaceDN w:val="0"/>
              <w:adjustRightInd w:val="0"/>
              <w:spacing w:after="0" w:line="240" w:lineRule="auto"/>
              <w:jc w:val="center"/>
              <w:rPr>
                <w:sz w:val="20"/>
                <w:szCs w:val="20"/>
              </w:rPr>
            </w:pPr>
          </w:p>
        </w:tc>
        <w:tc>
          <w:tcPr>
            <w:tcW w:w="678" w:type="dxa"/>
          </w:tcPr>
          <w:p w:rsidR="00B90EA7" w:rsidRDefault="00B90EA7">
            <w:pPr>
              <w:rPr>
                <w:b/>
                <w:bCs/>
                <w:color w:val="000000"/>
                <w:sz w:val="18"/>
                <w:szCs w:val="18"/>
              </w:rPr>
            </w:pPr>
            <w:proofErr w:type="spellStart"/>
            <w:r>
              <w:rPr>
                <w:rFonts w:eastAsia="Calibri"/>
                <w:b/>
                <w:bCs/>
                <w:color w:val="000000"/>
                <w:sz w:val="18"/>
                <w:szCs w:val="18"/>
              </w:rPr>
              <w:t>Coaltec</w:t>
            </w:r>
            <w:proofErr w:type="spellEnd"/>
          </w:p>
        </w:tc>
        <w:tc>
          <w:tcPr>
            <w:tcW w:w="678" w:type="dxa"/>
          </w:tcPr>
          <w:p w:rsidR="00B90EA7" w:rsidRDefault="00B90EA7">
            <w:pPr>
              <w:rPr>
                <w:b/>
                <w:bCs/>
                <w:color w:val="000000"/>
                <w:sz w:val="18"/>
                <w:szCs w:val="18"/>
              </w:rPr>
            </w:pPr>
            <w:proofErr w:type="spellStart"/>
            <w:r>
              <w:rPr>
                <w:rFonts w:eastAsia="Calibri"/>
                <w:b/>
                <w:bCs/>
                <w:color w:val="000000"/>
                <w:sz w:val="18"/>
                <w:szCs w:val="18"/>
              </w:rPr>
              <w:t>Oiltec</w:t>
            </w:r>
            <w:proofErr w:type="spellEnd"/>
          </w:p>
        </w:tc>
        <w:tc>
          <w:tcPr>
            <w:tcW w:w="679" w:type="dxa"/>
          </w:tcPr>
          <w:p w:rsidR="00B90EA7" w:rsidRDefault="00B90EA7">
            <w:pPr>
              <w:rPr>
                <w:b/>
                <w:bCs/>
                <w:color w:val="000000"/>
                <w:sz w:val="18"/>
                <w:szCs w:val="18"/>
              </w:rPr>
            </w:pPr>
            <w:r>
              <w:rPr>
                <w:rFonts w:eastAsia="Calibri"/>
                <w:b/>
                <w:bCs/>
                <w:color w:val="000000"/>
                <w:sz w:val="18"/>
                <w:szCs w:val="18"/>
              </w:rPr>
              <w:t>Gastec</w:t>
            </w:r>
          </w:p>
        </w:tc>
        <w:tc>
          <w:tcPr>
            <w:tcW w:w="678" w:type="dxa"/>
          </w:tcPr>
          <w:p w:rsidR="00B90EA7" w:rsidRDefault="00B90EA7">
            <w:pPr>
              <w:rPr>
                <w:b/>
                <w:bCs/>
                <w:color w:val="000000"/>
                <w:sz w:val="18"/>
                <w:szCs w:val="18"/>
              </w:rPr>
            </w:pPr>
            <w:r>
              <w:rPr>
                <w:rFonts w:eastAsia="Calibri"/>
                <w:b/>
                <w:bCs/>
                <w:color w:val="000000"/>
                <w:sz w:val="18"/>
                <w:szCs w:val="18"/>
              </w:rPr>
              <w:t>Nuclear</w:t>
            </w:r>
          </w:p>
        </w:tc>
        <w:tc>
          <w:tcPr>
            <w:tcW w:w="678" w:type="dxa"/>
          </w:tcPr>
          <w:p w:rsidR="00B90EA7" w:rsidRDefault="00B90EA7">
            <w:pPr>
              <w:rPr>
                <w:b/>
                <w:bCs/>
                <w:color w:val="000000"/>
                <w:sz w:val="18"/>
                <w:szCs w:val="18"/>
              </w:rPr>
            </w:pPr>
            <w:r>
              <w:rPr>
                <w:rFonts w:eastAsia="Calibri"/>
                <w:b/>
                <w:bCs/>
                <w:color w:val="000000"/>
                <w:sz w:val="18"/>
                <w:szCs w:val="18"/>
              </w:rPr>
              <w:t>Hydro</w:t>
            </w:r>
          </w:p>
        </w:tc>
        <w:tc>
          <w:tcPr>
            <w:tcW w:w="679" w:type="dxa"/>
          </w:tcPr>
          <w:p w:rsidR="00B90EA7" w:rsidRDefault="00B90EA7">
            <w:pPr>
              <w:rPr>
                <w:b/>
                <w:bCs/>
                <w:color w:val="000000"/>
                <w:sz w:val="18"/>
                <w:szCs w:val="18"/>
              </w:rPr>
            </w:pPr>
            <w:r>
              <w:rPr>
                <w:rFonts w:eastAsia="Calibri"/>
                <w:b/>
                <w:bCs/>
                <w:color w:val="000000"/>
                <w:sz w:val="18"/>
                <w:szCs w:val="18"/>
              </w:rPr>
              <w:t>Wind</w:t>
            </w:r>
          </w:p>
        </w:tc>
        <w:tc>
          <w:tcPr>
            <w:tcW w:w="678" w:type="dxa"/>
          </w:tcPr>
          <w:p w:rsidR="00B90EA7" w:rsidRDefault="00B90EA7">
            <w:pPr>
              <w:rPr>
                <w:b/>
                <w:bCs/>
                <w:color w:val="000000"/>
                <w:sz w:val="18"/>
                <w:szCs w:val="18"/>
              </w:rPr>
            </w:pPr>
            <w:r>
              <w:rPr>
                <w:rFonts w:eastAsia="Calibri"/>
                <w:b/>
                <w:bCs/>
                <w:color w:val="000000"/>
                <w:sz w:val="18"/>
                <w:szCs w:val="18"/>
              </w:rPr>
              <w:t>Solar</w:t>
            </w:r>
          </w:p>
        </w:tc>
        <w:tc>
          <w:tcPr>
            <w:tcW w:w="678" w:type="dxa"/>
          </w:tcPr>
          <w:p w:rsidR="00B90EA7" w:rsidRDefault="00B90EA7">
            <w:pPr>
              <w:rPr>
                <w:b/>
                <w:bCs/>
                <w:color w:val="000000"/>
                <w:sz w:val="18"/>
                <w:szCs w:val="18"/>
              </w:rPr>
            </w:pPr>
            <w:r>
              <w:rPr>
                <w:rFonts w:eastAsia="Calibri"/>
                <w:b/>
                <w:bCs/>
                <w:color w:val="000000"/>
                <w:sz w:val="18"/>
                <w:szCs w:val="18"/>
              </w:rPr>
              <w:t>Biomass</w:t>
            </w:r>
          </w:p>
        </w:tc>
        <w:tc>
          <w:tcPr>
            <w:tcW w:w="679" w:type="dxa"/>
          </w:tcPr>
          <w:p w:rsidR="00B90EA7" w:rsidRDefault="00B90EA7">
            <w:pPr>
              <w:rPr>
                <w:b/>
                <w:bCs/>
                <w:color w:val="000000"/>
                <w:sz w:val="18"/>
                <w:szCs w:val="18"/>
              </w:rPr>
            </w:pPr>
            <w:r>
              <w:rPr>
                <w:rFonts w:eastAsia="Calibri"/>
                <w:b/>
                <w:bCs/>
                <w:color w:val="000000"/>
                <w:sz w:val="18"/>
                <w:szCs w:val="18"/>
              </w:rPr>
              <w:t>Waste</w:t>
            </w:r>
          </w:p>
        </w:tc>
        <w:tc>
          <w:tcPr>
            <w:tcW w:w="679" w:type="dxa"/>
          </w:tcPr>
          <w:p w:rsidR="00B90EA7" w:rsidRDefault="00B90EA7">
            <w:pPr>
              <w:rPr>
                <w:b/>
                <w:bCs/>
                <w:color w:val="000000"/>
                <w:sz w:val="18"/>
                <w:szCs w:val="18"/>
              </w:rPr>
            </w:pPr>
            <w:r>
              <w:rPr>
                <w:rFonts w:eastAsia="Calibri"/>
                <w:b/>
                <w:bCs/>
                <w:color w:val="000000"/>
                <w:sz w:val="18"/>
                <w:szCs w:val="18"/>
              </w:rPr>
              <w:t xml:space="preserve">Other </w:t>
            </w:r>
            <w:proofErr w:type="spellStart"/>
            <w:r>
              <w:rPr>
                <w:rFonts w:eastAsia="Calibri"/>
                <w:b/>
                <w:bCs/>
                <w:color w:val="000000"/>
                <w:sz w:val="18"/>
                <w:szCs w:val="18"/>
              </w:rPr>
              <w:t>Renewables</w:t>
            </w:r>
            <w:proofErr w:type="spellEnd"/>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proofErr w:type="spellStart"/>
            <w:r w:rsidRPr="00D14EC2">
              <w:rPr>
                <w:rFonts w:eastAsia="Calibri"/>
                <w:b/>
                <w:bCs/>
                <w:sz w:val="18"/>
                <w:szCs w:val="18"/>
              </w:rPr>
              <w:t>Coaltec</w:t>
            </w:r>
            <w:proofErr w:type="spellEnd"/>
          </w:p>
        </w:tc>
        <w:tc>
          <w:tcPr>
            <w:tcW w:w="851" w:type="dxa"/>
            <w:vAlign w:val="bottom"/>
          </w:tcPr>
          <w:p w:rsidR="00971B88" w:rsidRPr="007938F7" w:rsidRDefault="00971B88" w:rsidP="00C90653">
            <w:pPr>
              <w:spacing w:after="0" w:line="240" w:lineRule="auto"/>
              <w:jc w:val="right"/>
              <w:rPr>
                <w:rFonts w:ascii="Calibri" w:hAnsi="Calibri"/>
                <w:color w:val="000000"/>
                <w:sz w:val="20"/>
                <w:szCs w:val="20"/>
              </w:rPr>
            </w:pPr>
            <w:r w:rsidRPr="007938F7">
              <w:rPr>
                <w:rFonts w:ascii="Calibri" w:hAnsi="Calibri"/>
                <w:color w:val="000000"/>
                <w:sz w:val="20"/>
                <w:szCs w:val="20"/>
              </w:rPr>
              <w:t>0.70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-0.60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0.10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0.38</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0.06</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0.00</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proofErr w:type="spellStart"/>
            <w:r w:rsidRPr="00D14EC2">
              <w:rPr>
                <w:rFonts w:eastAsia="Calibri"/>
                <w:b/>
                <w:bCs/>
                <w:sz w:val="18"/>
                <w:szCs w:val="18"/>
              </w:rPr>
              <w:t>Oiltec</w:t>
            </w:r>
            <w:proofErr w:type="spellEnd"/>
          </w:p>
        </w:tc>
        <w:tc>
          <w:tcPr>
            <w:tcW w:w="851" w:type="dxa"/>
            <w:vAlign w:val="bottom"/>
          </w:tcPr>
          <w:p w:rsidR="00971B88" w:rsidRPr="007938F7" w:rsidRDefault="00971B88" w:rsidP="00C90653">
            <w:pPr>
              <w:spacing w:after="0" w:line="240" w:lineRule="auto"/>
              <w:jc w:val="right"/>
              <w:rPr>
                <w:rFonts w:ascii="Calibri" w:hAnsi="Calibri"/>
                <w:color w:val="000000"/>
                <w:sz w:val="20"/>
                <w:szCs w:val="20"/>
              </w:rPr>
            </w:pPr>
            <w:r w:rsidRPr="007938F7">
              <w:rPr>
                <w:rFonts w:ascii="Calibri" w:hAnsi="Calibri"/>
                <w:color w:val="000000"/>
                <w:sz w:val="20"/>
                <w:szCs w:val="20"/>
              </w:rPr>
              <w:t>0.56</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0.09</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-0.47</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0.30</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0.04</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0.00</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Gastec</w:t>
            </w:r>
          </w:p>
        </w:tc>
        <w:tc>
          <w:tcPr>
            <w:tcW w:w="851" w:type="dxa"/>
            <w:vAlign w:val="bottom"/>
          </w:tcPr>
          <w:p w:rsidR="00971B88" w:rsidRPr="007938F7" w:rsidRDefault="00971B88" w:rsidP="00C90653">
            <w:pPr>
              <w:spacing w:after="0" w:line="240" w:lineRule="auto"/>
              <w:jc w:val="right"/>
              <w:rPr>
                <w:rFonts w:ascii="Calibri" w:hAnsi="Calibri"/>
                <w:color w:val="000000"/>
                <w:sz w:val="20"/>
                <w:szCs w:val="20"/>
              </w:rPr>
            </w:pPr>
            <w:r w:rsidRPr="007938F7">
              <w:rPr>
                <w:rFonts w:ascii="Calibri" w:hAnsi="Calibri"/>
                <w:color w:val="000000"/>
                <w:sz w:val="20"/>
                <w:szCs w:val="20"/>
              </w:rPr>
              <w:t>2.32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0.37</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0.34</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-1.07</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0.18</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0.08</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0.05</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Nuclear</w:t>
            </w:r>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Hydro</w:t>
            </w:r>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1.00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0.16</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0.15</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0.54</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-0.92</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0.03</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Wind</w:t>
            </w:r>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2.70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1.46</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0.21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-2.68</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0.03</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0.09</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0.06</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Solar</w:t>
            </w:r>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2.70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1.46</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0.21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-2.67</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0.09</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0.06</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Biomass</w:t>
            </w:r>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2.70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1.46</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0.21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0.03</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-2.61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0.06</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sz w:val="18"/>
                <w:szCs w:val="18"/>
              </w:rPr>
            </w:pPr>
            <w:r w:rsidRPr="00D14EC2">
              <w:rPr>
                <w:rFonts w:eastAsia="Calibri"/>
                <w:b/>
                <w:bCs/>
                <w:sz w:val="18"/>
                <w:szCs w:val="18"/>
              </w:rPr>
              <w:t>Waste</w:t>
            </w:r>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2.70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1.46</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0.21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0.03</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0.09</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-2.64</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0.01</w:t>
            </w:r>
          </w:p>
        </w:tc>
      </w:tr>
      <w:tr w:rsidR="00971B88" w:rsidRPr="00B54142" w:rsidTr="00971B88">
        <w:tc>
          <w:tcPr>
            <w:tcW w:w="1242" w:type="dxa"/>
          </w:tcPr>
          <w:p w:rsidR="00971B88" w:rsidRPr="00D14EC2" w:rsidRDefault="00971B88" w:rsidP="00C90653">
            <w:pPr>
              <w:autoSpaceDE w:val="0"/>
              <w:autoSpaceDN w:val="0"/>
              <w:adjustRightInd w:val="0"/>
              <w:spacing w:after="0" w:line="240" w:lineRule="auto"/>
              <w:jc w:val="left"/>
              <w:rPr>
                <w:rFonts w:eastAsia="Calibri"/>
                <w:b/>
                <w:bCs/>
                <w:sz w:val="18"/>
                <w:szCs w:val="18"/>
              </w:rPr>
            </w:pPr>
            <w:r w:rsidRPr="00D14EC2">
              <w:rPr>
                <w:rFonts w:eastAsia="Calibri"/>
                <w:b/>
                <w:bCs/>
                <w:sz w:val="18"/>
                <w:szCs w:val="18"/>
              </w:rPr>
              <w:t xml:space="preserve">Other </w:t>
            </w:r>
            <w:proofErr w:type="spellStart"/>
            <w:r w:rsidRPr="00D14EC2">
              <w:rPr>
                <w:rFonts w:eastAsia="Calibri"/>
                <w:b/>
                <w:bCs/>
                <w:sz w:val="18"/>
                <w:szCs w:val="18"/>
              </w:rPr>
              <w:t>Renewables</w:t>
            </w:r>
            <w:proofErr w:type="spellEnd"/>
          </w:p>
        </w:tc>
        <w:tc>
          <w:tcPr>
            <w:tcW w:w="851" w:type="dxa"/>
            <w:vAlign w:val="bottom"/>
          </w:tcPr>
          <w:p w:rsidR="00971B88" w:rsidRPr="007938F7" w:rsidRDefault="00971B88" w:rsidP="00A3258A">
            <w:pPr>
              <w:spacing w:after="0" w:line="240" w:lineRule="auto"/>
              <w:jc w:val="right"/>
              <w:rPr>
                <w:rFonts w:ascii="Calibri" w:hAnsi="Calibri"/>
                <w:color w:val="000000"/>
                <w:sz w:val="20"/>
                <w:szCs w:val="20"/>
              </w:rPr>
            </w:pPr>
            <w:r w:rsidRPr="007938F7">
              <w:rPr>
                <w:rFonts w:ascii="Calibri" w:hAnsi="Calibri"/>
                <w:color w:val="000000"/>
                <w:sz w:val="20"/>
                <w:szCs w:val="20"/>
              </w:rPr>
              <w:t>2.70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0.40</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1.46</w:t>
            </w:r>
          </w:p>
        </w:tc>
        <w:tc>
          <w:tcPr>
            <w:tcW w:w="678" w:type="dxa"/>
            <w:vAlign w:val="bottom"/>
          </w:tcPr>
          <w:p w:rsidR="00971B88" w:rsidRDefault="00971B88" w:rsidP="00971B88">
            <w:pPr>
              <w:spacing w:after="0" w:line="240" w:lineRule="auto"/>
              <w:jc w:val="right"/>
            </w:pPr>
            <w:r w:rsidRPr="00D772A9">
              <w:rPr>
                <w:rFonts w:ascii="Calibri" w:hAnsi="Calibri"/>
                <w:color w:val="000000"/>
                <w:sz w:val="20"/>
                <w:szCs w:val="20"/>
              </w:rPr>
              <w:t>0</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0.21</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0.02</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0.03</w:t>
            </w:r>
          </w:p>
        </w:tc>
        <w:tc>
          <w:tcPr>
            <w:tcW w:w="678"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0.09</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0.06</w:t>
            </w:r>
          </w:p>
        </w:tc>
        <w:tc>
          <w:tcPr>
            <w:tcW w:w="679" w:type="dxa"/>
            <w:vAlign w:val="bottom"/>
          </w:tcPr>
          <w:p w:rsidR="00971B88" w:rsidRPr="00B90EA7" w:rsidRDefault="00971B88" w:rsidP="00B90EA7">
            <w:pPr>
              <w:spacing w:after="0" w:line="240" w:lineRule="auto"/>
              <w:jc w:val="right"/>
              <w:rPr>
                <w:rFonts w:ascii="Calibri" w:hAnsi="Calibri"/>
                <w:color w:val="000000"/>
                <w:sz w:val="20"/>
                <w:szCs w:val="20"/>
              </w:rPr>
            </w:pPr>
            <w:r w:rsidRPr="00B90EA7">
              <w:rPr>
                <w:rFonts w:ascii="Calibri" w:hAnsi="Calibri"/>
                <w:color w:val="000000"/>
                <w:sz w:val="20"/>
                <w:szCs w:val="20"/>
              </w:rPr>
              <w:t>-2.69</w:t>
            </w:r>
          </w:p>
        </w:tc>
      </w:tr>
    </w:tbl>
    <w:p w:rsidR="000371B7" w:rsidRDefault="000371B7" w:rsidP="00A30786">
      <w:pPr>
        <w:jc w:val="left"/>
      </w:pPr>
    </w:p>
    <w:p w:rsidR="00841335" w:rsidRDefault="000371B7" w:rsidP="000D109B">
      <w:pPr>
        <w:autoSpaceDE w:val="0"/>
        <w:autoSpaceDN w:val="0"/>
        <w:adjustRightInd w:val="0"/>
        <w:spacing w:after="0" w:line="240" w:lineRule="auto"/>
      </w:pPr>
      <w:r>
        <w:br w:type="column"/>
      </w:r>
      <w:proofErr w:type="gramStart"/>
      <w:r>
        <w:lastRenderedPageBreak/>
        <w:t>Table 6</w:t>
      </w:r>
      <w:r w:rsidR="00841335">
        <w:t xml:space="preserve">: </w:t>
      </w:r>
      <w:r w:rsidR="009E2371">
        <w:t xml:space="preserve">Kyoto Protocol </w:t>
      </w:r>
      <w:r w:rsidR="000D109B">
        <w:t>Scenario results</w:t>
      </w:r>
      <w:r w:rsidR="00841335">
        <w:t>.</w:t>
      </w:r>
      <w:proofErr w:type="gramEnd"/>
      <w:r w:rsidR="00841335">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
        <w:gridCol w:w="1096"/>
        <w:gridCol w:w="1417"/>
        <w:gridCol w:w="1275"/>
        <w:gridCol w:w="1276"/>
        <w:gridCol w:w="1276"/>
        <w:gridCol w:w="1276"/>
        <w:gridCol w:w="1276"/>
      </w:tblGrid>
      <w:tr w:rsidR="00E61E90" w:rsidRPr="003539B3" w:rsidTr="00E61E90">
        <w:trPr>
          <w:trHeight w:val="810"/>
        </w:trPr>
        <w:tc>
          <w:tcPr>
            <w:tcW w:w="572" w:type="dxa"/>
            <w:vMerge w:val="restart"/>
            <w:tcBorders>
              <w:top w:val="single" w:sz="4" w:space="0" w:color="auto"/>
              <w:left w:val="single" w:sz="4" w:space="0" w:color="auto"/>
              <w:right w:val="single" w:sz="4" w:space="0" w:color="auto"/>
            </w:tcBorders>
          </w:tcPr>
          <w:p w:rsidR="00E61E90" w:rsidRPr="003539B3" w:rsidRDefault="00E61E90" w:rsidP="00C90653">
            <w:pPr>
              <w:spacing w:before="120" w:after="120" w:line="240" w:lineRule="auto"/>
            </w:pPr>
            <w:r w:rsidRPr="003539B3">
              <w:t>No.</w:t>
            </w:r>
          </w:p>
        </w:tc>
        <w:tc>
          <w:tcPr>
            <w:tcW w:w="1096" w:type="dxa"/>
            <w:vMerge w:val="restart"/>
            <w:tcBorders>
              <w:top w:val="single" w:sz="4" w:space="0" w:color="auto"/>
              <w:left w:val="single" w:sz="4" w:space="0" w:color="auto"/>
              <w:right w:val="single" w:sz="4" w:space="0" w:color="auto"/>
            </w:tcBorders>
          </w:tcPr>
          <w:p w:rsidR="00E61E90" w:rsidRPr="003539B3" w:rsidRDefault="00E61E90" w:rsidP="00C90653">
            <w:pPr>
              <w:spacing w:before="120" w:after="120" w:line="240" w:lineRule="auto"/>
            </w:pPr>
            <w:r w:rsidRPr="003539B3">
              <w:t>Region</w:t>
            </w:r>
          </w:p>
        </w:tc>
        <w:tc>
          <w:tcPr>
            <w:tcW w:w="1417" w:type="dxa"/>
            <w:vMerge w:val="restart"/>
            <w:tcBorders>
              <w:top w:val="single" w:sz="4" w:space="0" w:color="auto"/>
              <w:left w:val="single" w:sz="4" w:space="0" w:color="auto"/>
              <w:right w:val="single" w:sz="4" w:space="0" w:color="auto"/>
            </w:tcBorders>
          </w:tcPr>
          <w:p w:rsidR="00E61E90" w:rsidRPr="00154037" w:rsidRDefault="00E61E90" w:rsidP="00154037">
            <w:pPr>
              <w:spacing w:before="120" w:after="120" w:line="240" w:lineRule="auto"/>
              <w:jc w:val="center"/>
              <w:rPr>
                <w:sz w:val="20"/>
                <w:szCs w:val="20"/>
              </w:rPr>
            </w:pPr>
            <w:r w:rsidRPr="00154037">
              <w:rPr>
                <w:sz w:val="20"/>
                <w:szCs w:val="20"/>
              </w:rPr>
              <w:t>% CO</w:t>
            </w:r>
            <w:r w:rsidRPr="00154037">
              <w:rPr>
                <w:sz w:val="20"/>
                <w:szCs w:val="20"/>
                <w:vertAlign w:val="subscript"/>
              </w:rPr>
              <w:t>2</w:t>
            </w:r>
            <w:r w:rsidRPr="00154037">
              <w:rPr>
                <w:sz w:val="20"/>
                <w:szCs w:val="20"/>
              </w:rPr>
              <w:t xml:space="preserve"> emissions reduction under Kyoto Protocol</w:t>
            </w:r>
          </w:p>
        </w:tc>
        <w:tc>
          <w:tcPr>
            <w:tcW w:w="6379" w:type="dxa"/>
            <w:gridSpan w:val="5"/>
            <w:tcBorders>
              <w:top w:val="single" w:sz="4" w:space="0" w:color="auto"/>
              <w:left w:val="single" w:sz="4" w:space="0" w:color="auto"/>
              <w:bottom w:val="single" w:sz="4" w:space="0" w:color="auto"/>
              <w:right w:val="single" w:sz="4" w:space="0" w:color="auto"/>
            </w:tcBorders>
          </w:tcPr>
          <w:p w:rsidR="00E61E90" w:rsidRDefault="00E61E90" w:rsidP="00E61E90">
            <w:pPr>
              <w:spacing w:before="120" w:after="120" w:line="240" w:lineRule="auto"/>
              <w:jc w:val="center"/>
            </w:pPr>
            <w:r>
              <w:t>Carbon price (2007 $US/tCO</w:t>
            </w:r>
            <w:r w:rsidRPr="00E61E90">
              <w:rPr>
                <w:vertAlign w:val="subscript"/>
              </w:rPr>
              <w:t>2</w:t>
            </w:r>
            <w:r>
              <w:t>) under different electricity market structure assumptions</w:t>
            </w:r>
          </w:p>
        </w:tc>
      </w:tr>
      <w:tr w:rsidR="00E61E90" w:rsidRPr="003539B3" w:rsidTr="00E61E90">
        <w:trPr>
          <w:trHeight w:val="810"/>
        </w:trPr>
        <w:tc>
          <w:tcPr>
            <w:tcW w:w="572" w:type="dxa"/>
            <w:vMerge/>
            <w:tcBorders>
              <w:left w:val="single" w:sz="4" w:space="0" w:color="auto"/>
              <w:bottom w:val="single" w:sz="4" w:space="0" w:color="auto"/>
              <w:right w:val="single" w:sz="4" w:space="0" w:color="auto"/>
            </w:tcBorders>
          </w:tcPr>
          <w:p w:rsidR="00E61E90" w:rsidRPr="003539B3" w:rsidRDefault="00E61E90" w:rsidP="00C90653">
            <w:pPr>
              <w:spacing w:before="120" w:after="120" w:line="240" w:lineRule="auto"/>
            </w:pPr>
          </w:p>
        </w:tc>
        <w:tc>
          <w:tcPr>
            <w:tcW w:w="1096" w:type="dxa"/>
            <w:vMerge/>
            <w:tcBorders>
              <w:left w:val="single" w:sz="4" w:space="0" w:color="auto"/>
              <w:bottom w:val="single" w:sz="4" w:space="0" w:color="auto"/>
              <w:right w:val="single" w:sz="4" w:space="0" w:color="auto"/>
            </w:tcBorders>
          </w:tcPr>
          <w:p w:rsidR="00E61E90" w:rsidRPr="003539B3" w:rsidRDefault="00E61E90" w:rsidP="00C90653">
            <w:pPr>
              <w:spacing w:before="120" w:after="120" w:line="240" w:lineRule="auto"/>
            </w:pPr>
          </w:p>
        </w:tc>
        <w:tc>
          <w:tcPr>
            <w:tcW w:w="1417" w:type="dxa"/>
            <w:vMerge/>
            <w:tcBorders>
              <w:left w:val="single" w:sz="4" w:space="0" w:color="auto"/>
              <w:bottom w:val="single" w:sz="4" w:space="0" w:color="auto"/>
              <w:right w:val="single" w:sz="4" w:space="0" w:color="auto"/>
            </w:tcBorders>
          </w:tcPr>
          <w:p w:rsidR="00E61E90" w:rsidRPr="00154037" w:rsidRDefault="00E61E90" w:rsidP="00154037">
            <w:pPr>
              <w:spacing w:before="120" w:after="120" w:line="240" w:lineRule="auto"/>
              <w:jc w:val="center"/>
              <w:rPr>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rsidR="00E61E90" w:rsidRPr="00AA1027" w:rsidRDefault="00E61E90" w:rsidP="00BC3DED">
            <w:pPr>
              <w:spacing w:before="120" w:after="120" w:line="240" w:lineRule="auto"/>
              <w:jc w:val="center"/>
              <w:rPr>
                <w:sz w:val="18"/>
                <w:szCs w:val="18"/>
              </w:rPr>
            </w:pPr>
            <w:r w:rsidRPr="00AA1027">
              <w:rPr>
                <w:sz w:val="18"/>
                <w:szCs w:val="18"/>
              </w:rPr>
              <w:t>CRESH</w:t>
            </w:r>
            <w:r w:rsidR="00BC3DED">
              <w:rPr>
                <w:sz w:val="18"/>
                <w:szCs w:val="18"/>
              </w:rPr>
              <w:t xml:space="preserve"> (a)</w:t>
            </w:r>
            <w:r>
              <w:rPr>
                <w:sz w:val="18"/>
                <w:szCs w:val="18"/>
              </w:rPr>
              <w:br/>
              <w:t>with output adjustment</w:t>
            </w:r>
          </w:p>
        </w:tc>
        <w:tc>
          <w:tcPr>
            <w:tcW w:w="1276" w:type="dxa"/>
            <w:tcBorders>
              <w:left w:val="single" w:sz="4" w:space="0" w:color="auto"/>
              <w:bottom w:val="single" w:sz="4" w:space="0" w:color="auto"/>
              <w:right w:val="single" w:sz="4" w:space="0" w:color="auto"/>
            </w:tcBorders>
            <w:vAlign w:val="center"/>
          </w:tcPr>
          <w:p w:rsidR="00E61E90" w:rsidRDefault="00E61E90" w:rsidP="00E61E90">
            <w:pPr>
              <w:spacing w:before="120" w:after="120" w:line="240" w:lineRule="auto"/>
              <w:jc w:val="center"/>
            </w:pPr>
            <w:r w:rsidRPr="00AA1027">
              <w:rPr>
                <w:sz w:val="18"/>
                <w:szCs w:val="18"/>
              </w:rPr>
              <w:t>CRESH</w:t>
            </w:r>
            <w:r w:rsidR="00BC3DED">
              <w:rPr>
                <w:sz w:val="18"/>
                <w:szCs w:val="18"/>
              </w:rPr>
              <w:t xml:space="preserve"> (b)</w:t>
            </w:r>
            <w:r>
              <w:rPr>
                <w:sz w:val="18"/>
                <w:szCs w:val="18"/>
              </w:rPr>
              <w:br/>
              <w:t>with</w:t>
            </w:r>
            <w:r w:rsidR="00BC3DED">
              <w:rPr>
                <w:sz w:val="18"/>
                <w:szCs w:val="18"/>
              </w:rPr>
              <w:t>ou</w:t>
            </w:r>
            <w:r>
              <w:rPr>
                <w:sz w:val="18"/>
                <w:szCs w:val="18"/>
              </w:rPr>
              <w:t>t output adjustment</w:t>
            </w:r>
          </w:p>
        </w:tc>
        <w:tc>
          <w:tcPr>
            <w:tcW w:w="1276" w:type="dxa"/>
            <w:tcBorders>
              <w:left w:val="single" w:sz="4" w:space="0" w:color="auto"/>
              <w:bottom w:val="single" w:sz="4" w:space="0" w:color="auto"/>
              <w:right w:val="single" w:sz="4" w:space="0" w:color="auto"/>
            </w:tcBorders>
            <w:vAlign w:val="center"/>
          </w:tcPr>
          <w:p w:rsidR="00E61E90" w:rsidRPr="00BC3DED" w:rsidRDefault="00E61E90" w:rsidP="00BC3DED">
            <w:pPr>
              <w:spacing w:before="120" w:after="120" w:line="240" w:lineRule="auto"/>
              <w:jc w:val="center"/>
              <w:rPr>
                <w:sz w:val="18"/>
                <w:szCs w:val="18"/>
              </w:rPr>
            </w:pPr>
            <w:r w:rsidRPr="00BC3DED">
              <w:rPr>
                <w:sz w:val="18"/>
                <w:szCs w:val="18"/>
              </w:rPr>
              <w:t>IC</w:t>
            </w:r>
            <w:r w:rsidR="00BC3DED" w:rsidRPr="00BC3DED">
              <w:rPr>
                <w:sz w:val="18"/>
                <w:szCs w:val="18"/>
              </w:rPr>
              <w:t xml:space="preserve"> (1)</w:t>
            </w:r>
            <w:r w:rsidR="00BC3DED" w:rsidRPr="00BC3DED">
              <w:rPr>
                <w:sz w:val="18"/>
                <w:szCs w:val="18"/>
              </w:rPr>
              <w:br/>
            </w:r>
            <w:proofErr w:type="spellStart"/>
            <w:r w:rsidR="00BC3DED" w:rsidRPr="00BC3DED">
              <w:rPr>
                <w:sz w:val="18"/>
                <w:szCs w:val="18"/>
              </w:rPr>
              <w:t>ElyCoa</w:t>
            </w:r>
            <w:proofErr w:type="spellEnd"/>
            <w:r w:rsidR="00BC3DED" w:rsidRPr="00BC3DED">
              <w:rPr>
                <w:sz w:val="18"/>
                <w:szCs w:val="18"/>
              </w:rPr>
              <w:br/>
              <w:t>as IC</w:t>
            </w:r>
          </w:p>
        </w:tc>
        <w:tc>
          <w:tcPr>
            <w:tcW w:w="1276" w:type="dxa"/>
            <w:tcBorders>
              <w:left w:val="single" w:sz="4" w:space="0" w:color="auto"/>
              <w:bottom w:val="single" w:sz="4" w:space="0" w:color="auto"/>
              <w:right w:val="single" w:sz="4" w:space="0" w:color="auto"/>
            </w:tcBorders>
            <w:vAlign w:val="center"/>
          </w:tcPr>
          <w:p w:rsidR="00E61E90" w:rsidRPr="00BC3DED" w:rsidRDefault="00E61E90" w:rsidP="00BC3DED">
            <w:pPr>
              <w:spacing w:before="120" w:after="120" w:line="240" w:lineRule="auto"/>
              <w:jc w:val="center"/>
              <w:rPr>
                <w:sz w:val="18"/>
                <w:szCs w:val="18"/>
              </w:rPr>
            </w:pPr>
            <w:r w:rsidRPr="00BC3DED">
              <w:rPr>
                <w:sz w:val="18"/>
                <w:szCs w:val="18"/>
              </w:rPr>
              <w:t>IC</w:t>
            </w:r>
            <w:r w:rsidR="00BC3DED" w:rsidRPr="00BC3DED">
              <w:rPr>
                <w:sz w:val="18"/>
                <w:szCs w:val="18"/>
              </w:rPr>
              <w:t xml:space="preserve"> </w:t>
            </w:r>
            <w:r w:rsidRPr="00BC3DED">
              <w:rPr>
                <w:sz w:val="18"/>
                <w:szCs w:val="18"/>
              </w:rPr>
              <w:t>(2)</w:t>
            </w:r>
            <w:r w:rsidR="00BC3DED" w:rsidRPr="00BC3DED">
              <w:rPr>
                <w:sz w:val="18"/>
                <w:szCs w:val="18"/>
              </w:rPr>
              <w:br/>
            </w:r>
            <w:proofErr w:type="spellStart"/>
            <w:r w:rsidR="00BC3DED" w:rsidRPr="00BC3DED">
              <w:rPr>
                <w:sz w:val="18"/>
                <w:szCs w:val="18"/>
              </w:rPr>
              <w:t>ElyCoa</w:t>
            </w:r>
            <w:proofErr w:type="spellEnd"/>
            <w:r w:rsidR="00BC3DED" w:rsidRPr="00BC3DED">
              <w:rPr>
                <w:sz w:val="18"/>
                <w:szCs w:val="18"/>
              </w:rPr>
              <w:t xml:space="preserve">, </w:t>
            </w:r>
            <w:proofErr w:type="spellStart"/>
            <w:r w:rsidR="00BC3DED" w:rsidRPr="00BC3DED">
              <w:rPr>
                <w:sz w:val="18"/>
                <w:szCs w:val="18"/>
              </w:rPr>
              <w:t>ElyLWR</w:t>
            </w:r>
            <w:proofErr w:type="spellEnd"/>
            <w:r w:rsidR="00BC3DED" w:rsidRPr="00BC3DED">
              <w:rPr>
                <w:sz w:val="18"/>
                <w:szCs w:val="18"/>
              </w:rPr>
              <w:br/>
              <w:t>as ICs</w:t>
            </w:r>
          </w:p>
        </w:tc>
        <w:tc>
          <w:tcPr>
            <w:tcW w:w="1276" w:type="dxa"/>
            <w:tcBorders>
              <w:left w:val="single" w:sz="4" w:space="0" w:color="auto"/>
              <w:bottom w:val="single" w:sz="4" w:space="0" w:color="auto"/>
              <w:right w:val="single" w:sz="4" w:space="0" w:color="auto"/>
            </w:tcBorders>
            <w:vAlign w:val="center"/>
          </w:tcPr>
          <w:p w:rsidR="00E61E90" w:rsidRPr="00BC3DED" w:rsidRDefault="00E61E90" w:rsidP="00BC3DED">
            <w:pPr>
              <w:spacing w:before="120" w:after="120" w:line="240" w:lineRule="auto"/>
              <w:jc w:val="center"/>
              <w:rPr>
                <w:sz w:val="18"/>
                <w:szCs w:val="18"/>
              </w:rPr>
            </w:pPr>
            <w:r w:rsidRPr="00BC3DED">
              <w:rPr>
                <w:sz w:val="18"/>
                <w:szCs w:val="18"/>
              </w:rPr>
              <w:t>IC</w:t>
            </w:r>
            <w:r w:rsidR="00BC3DED" w:rsidRPr="00BC3DED">
              <w:rPr>
                <w:sz w:val="18"/>
                <w:szCs w:val="18"/>
              </w:rPr>
              <w:t xml:space="preserve"> </w:t>
            </w:r>
            <w:r w:rsidRPr="00BC3DED">
              <w:rPr>
                <w:sz w:val="18"/>
                <w:szCs w:val="18"/>
              </w:rPr>
              <w:t>(3)</w:t>
            </w:r>
            <w:r w:rsidR="00BC3DED" w:rsidRPr="00BC3DED">
              <w:rPr>
                <w:sz w:val="18"/>
                <w:szCs w:val="18"/>
              </w:rPr>
              <w:br/>
            </w:r>
            <w:proofErr w:type="spellStart"/>
            <w:r w:rsidR="00BC3DED" w:rsidRPr="00BC3DED">
              <w:rPr>
                <w:sz w:val="18"/>
                <w:szCs w:val="18"/>
              </w:rPr>
              <w:t>ElyCoa</w:t>
            </w:r>
            <w:proofErr w:type="spellEnd"/>
            <w:r w:rsidR="00BC3DED" w:rsidRPr="00BC3DED">
              <w:rPr>
                <w:sz w:val="18"/>
                <w:szCs w:val="18"/>
              </w:rPr>
              <w:t xml:space="preserve">, </w:t>
            </w:r>
            <w:proofErr w:type="spellStart"/>
            <w:r w:rsidR="00BC3DED" w:rsidRPr="00BC3DED">
              <w:rPr>
                <w:sz w:val="18"/>
                <w:szCs w:val="18"/>
              </w:rPr>
              <w:t>ElyLWR</w:t>
            </w:r>
            <w:proofErr w:type="spellEnd"/>
            <w:r w:rsidR="00BC3DED" w:rsidRPr="00BC3DED">
              <w:rPr>
                <w:sz w:val="18"/>
                <w:szCs w:val="18"/>
              </w:rPr>
              <w:t xml:space="preserve"> </w:t>
            </w:r>
            <w:proofErr w:type="spellStart"/>
            <w:r w:rsidR="00BC3DED" w:rsidRPr="00BC3DED">
              <w:rPr>
                <w:sz w:val="18"/>
                <w:szCs w:val="18"/>
              </w:rPr>
              <w:t>ElyHyd</w:t>
            </w:r>
            <w:proofErr w:type="spellEnd"/>
            <w:r w:rsidR="00BC3DED" w:rsidRPr="00BC3DED">
              <w:rPr>
                <w:sz w:val="18"/>
                <w:szCs w:val="18"/>
              </w:rPr>
              <w:br/>
              <w:t>as ICs</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CHN</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2</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IND</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3</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JPN</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-31.8</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167</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76.5</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182.4</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199.2</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199</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4</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KOR</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5</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ASIA</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6</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USA</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-35.6</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135</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134.5</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135.6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135.6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135.6</w:t>
            </w:r>
          </w:p>
        </w:tc>
      </w:tr>
      <w:tr w:rsidR="00BC3DED" w:rsidRPr="002F1961" w:rsidTr="00CC6491">
        <w:tc>
          <w:tcPr>
            <w:tcW w:w="572" w:type="dxa"/>
            <w:tcBorders>
              <w:top w:val="single" w:sz="4" w:space="0" w:color="auto"/>
              <w:left w:val="single" w:sz="4" w:space="0" w:color="auto"/>
              <w:bottom w:val="single" w:sz="4" w:space="0" w:color="auto"/>
              <w:right w:val="single" w:sz="4" w:space="0" w:color="auto"/>
            </w:tcBorders>
          </w:tcPr>
          <w:p w:rsidR="00BC3DED" w:rsidRPr="002F1961" w:rsidRDefault="00BC3DED" w:rsidP="00C90653">
            <w:pPr>
              <w:spacing w:after="0" w:line="240" w:lineRule="auto"/>
            </w:pPr>
            <w:r w:rsidRPr="002F1961">
              <w:t>7</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CAN</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-35.7</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131.9</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131.6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132.3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132.3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132.3</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2F1961" w:rsidRDefault="00BC3DED" w:rsidP="00C90653">
            <w:pPr>
              <w:spacing w:after="0" w:line="240" w:lineRule="auto"/>
            </w:pPr>
            <w:r w:rsidRPr="002F1961">
              <w:t>8</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AUS</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-35.7</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129.5</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129.2</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130.3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130.2</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130.2</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t>9</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EU12</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-22.4</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118.1</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117.1</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119</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119.1</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119.1</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t>10</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DEU</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-22.4</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107.3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106.4</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108.2</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108.3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108.3</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r>
              <w:t>1</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FRA</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-22.4</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132.7</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131.6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133.8</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134</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133.9</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t>12</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GBR</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-22.4</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96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95.3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96.6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96.7</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96.7</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r>
              <w:t>3</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RUS</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r>
              <w:t>4</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CEU</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r>
              <w:t>5</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RoA1</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r>
              <w:rPr>
                <w:rFonts w:ascii="Calibri" w:hAnsi="Calibri"/>
                <w:color w:val="000000"/>
                <w:sz w:val="22"/>
                <w:szCs w:val="22"/>
              </w:rPr>
              <w:t>-35.7</w:t>
            </w: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215</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214.3</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215.6</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215.7</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215.7</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r>
              <w:t>6</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r>
              <w:rPr>
                <w:rFonts w:ascii="Calibri" w:hAnsi="Calibri"/>
                <w:color w:val="000000"/>
                <w:sz w:val="22"/>
                <w:szCs w:val="22"/>
              </w:rPr>
              <w:t>LSA</w:t>
            </w:r>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r w:rsidR="00BC3DED" w:rsidRPr="003539B3" w:rsidTr="00CC6491">
        <w:tc>
          <w:tcPr>
            <w:tcW w:w="572" w:type="dxa"/>
            <w:tcBorders>
              <w:top w:val="single" w:sz="4" w:space="0" w:color="auto"/>
              <w:left w:val="single" w:sz="4" w:space="0" w:color="auto"/>
              <w:bottom w:val="single" w:sz="4" w:space="0" w:color="auto"/>
              <w:right w:val="single" w:sz="4" w:space="0" w:color="auto"/>
            </w:tcBorders>
          </w:tcPr>
          <w:p w:rsidR="00BC3DED" w:rsidRPr="003539B3" w:rsidRDefault="00BC3DED" w:rsidP="00C90653">
            <w:pPr>
              <w:spacing w:after="0" w:line="240" w:lineRule="auto"/>
            </w:pPr>
            <w:r w:rsidRPr="003539B3">
              <w:t>1</w:t>
            </w:r>
            <w:r>
              <w:t>7</w:t>
            </w:r>
          </w:p>
        </w:tc>
        <w:tc>
          <w:tcPr>
            <w:tcW w:w="1096" w:type="dxa"/>
            <w:tcBorders>
              <w:top w:val="single" w:sz="4" w:space="0" w:color="auto"/>
              <w:left w:val="single" w:sz="4" w:space="0" w:color="auto"/>
              <w:bottom w:val="single" w:sz="4" w:space="0" w:color="auto"/>
              <w:right w:val="single" w:sz="4" w:space="0" w:color="auto"/>
            </w:tcBorders>
            <w:vAlign w:val="bottom"/>
          </w:tcPr>
          <w:p w:rsidR="00BC3DED" w:rsidRDefault="00BC3DED" w:rsidP="00C90653">
            <w:pPr>
              <w:spacing w:after="0" w:line="240" w:lineRule="auto"/>
              <w:rPr>
                <w:rFonts w:ascii="Calibri" w:hAnsi="Calibri"/>
                <w:color w:val="000000"/>
                <w:sz w:val="22"/>
                <w:szCs w:val="22"/>
              </w:rPr>
            </w:pPr>
            <w:proofErr w:type="spellStart"/>
            <w:r>
              <w:rPr>
                <w:rFonts w:ascii="Calibri" w:hAnsi="Calibri"/>
                <w:color w:val="000000"/>
                <w:sz w:val="22"/>
                <w:szCs w:val="22"/>
              </w:rPr>
              <w:t>RoW</w:t>
            </w:r>
            <w:proofErr w:type="spellEnd"/>
          </w:p>
        </w:tc>
        <w:tc>
          <w:tcPr>
            <w:tcW w:w="1417" w:type="dxa"/>
            <w:tcBorders>
              <w:top w:val="single" w:sz="4" w:space="0" w:color="auto"/>
              <w:left w:val="single" w:sz="4" w:space="0" w:color="auto"/>
              <w:bottom w:val="single" w:sz="4" w:space="0" w:color="auto"/>
              <w:right w:val="single" w:sz="4" w:space="0" w:color="auto"/>
            </w:tcBorders>
          </w:tcPr>
          <w:p w:rsidR="00BC3DED" w:rsidRDefault="00BC3DED" w:rsidP="00E61E90">
            <w:pPr>
              <w:spacing w:after="0" w:line="240" w:lineRule="auto"/>
              <w:jc w:val="center"/>
              <w:rPr>
                <w:rFonts w:ascii="Calibri" w:hAnsi="Calibri"/>
                <w:color w:val="000000"/>
                <w:sz w:val="22"/>
                <w:szCs w:val="22"/>
              </w:rPr>
            </w:pPr>
          </w:p>
        </w:tc>
        <w:tc>
          <w:tcPr>
            <w:tcW w:w="1275"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C3DED" w:rsidRDefault="00BC3DED" w:rsidP="00BC3DED">
            <w:pPr>
              <w:spacing w:after="0" w:line="240" w:lineRule="auto"/>
              <w:jc w:val="right"/>
              <w:rPr>
                <w:rFonts w:ascii="Calibri" w:hAnsi="Calibri"/>
                <w:color w:val="000000"/>
                <w:sz w:val="22"/>
                <w:szCs w:val="22"/>
              </w:rPr>
            </w:pPr>
            <w:r>
              <w:rPr>
                <w:rFonts w:ascii="Calibri" w:hAnsi="Calibri"/>
                <w:color w:val="000000"/>
                <w:sz w:val="22"/>
                <w:szCs w:val="22"/>
              </w:rPr>
              <w:t>0</w:t>
            </w:r>
          </w:p>
        </w:tc>
      </w:tr>
    </w:tbl>
    <w:p w:rsidR="00BC3DED" w:rsidRDefault="00BC3DED" w:rsidP="00841335">
      <w:pPr>
        <w:jc w:val="left"/>
      </w:pPr>
    </w:p>
    <w:p w:rsidR="00BC3DED" w:rsidRDefault="00BC3DED" w:rsidP="00BC3DED">
      <w:pPr>
        <w:autoSpaceDE w:val="0"/>
        <w:autoSpaceDN w:val="0"/>
        <w:adjustRightInd w:val="0"/>
        <w:spacing w:after="0" w:line="240" w:lineRule="auto"/>
      </w:pPr>
      <w:r>
        <w:br w:type="column"/>
      </w:r>
      <w:r>
        <w:lastRenderedPageBreak/>
        <w:t xml:space="preserve">Table 7: </w:t>
      </w:r>
      <w:r w:rsidR="00B16EFA">
        <w:t>Change in production level</w:t>
      </w:r>
      <w:r>
        <w:t xml:space="preserve">.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
        <w:gridCol w:w="1379"/>
        <w:gridCol w:w="1134"/>
        <w:gridCol w:w="1275"/>
        <w:gridCol w:w="1276"/>
        <w:gridCol w:w="1276"/>
        <w:gridCol w:w="1276"/>
      </w:tblGrid>
      <w:tr w:rsidR="00B16EFA" w:rsidRPr="003539B3" w:rsidTr="00CC6491">
        <w:trPr>
          <w:trHeight w:val="1010"/>
        </w:trPr>
        <w:tc>
          <w:tcPr>
            <w:tcW w:w="572" w:type="dxa"/>
            <w:vMerge w:val="restart"/>
            <w:tcBorders>
              <w:top w:val="single" w:sz="4" w:space="0" w:color="auto"/>
              <w:left w:val="single" w:sz="4" w:space="0" w:color="auto"/>
              <w:right w:val="single" w:sz="4" w:space="0" w:color="auto"/>
            </w:tcBorders>
          </w:tcPr>
          <w:p w:rsidR="00B16EFA" w:rsidRPr="003539B3" w:rsidRDefault="00B16EFA" w:rsidP="00CC6491">
            <w:pPr>
              <w:spacing w:before="120" w:after="120" w:line="240" w:lineRule="auto"/>
            </w:pPr>
            <w:r w:rsidRPr="003539B3">
              <w:t>No.</w:t>
            </w:r>
          </w:p>
        </w:tc>
        <w:tc>
          <w:tcPr>
            <w:tcW w:w="1379" w:type="dxa"/>
            <w:vMerge w:val="restart"/>
            <w:tcBorders>
              <w:top w:val="single" w:sz="4" w:space="0" w:color="auto"/>
              <w:left w:val="single" w:sz="4" w:space="0" w:color="auto"/>
              <w:right w:val="single" w:sz="4" w:space="0" w:color="auto"/>
            </w:tcBorders>
          </w:tcPr>
          <w:p w:rsidR="00B16EFA" w:rsidRPr="003539B3" w:rsidRDefault="00B16EFA" w:rsidP="00CC6491">
            <w:pPr>
              <w:spacing w:before="120" w:after="120" w:line="240" w:lineRule="auto"/>
            </w:pPr>
            <w:r>
              <w:t>Sector/</w:t>
            </w:r>
            <w:r>
              <w:br/>
              <w:t>technology</w:t>
            </w:r>
          </w:p>
        </w:tc>
        <w:tc>
          <w:tcPr>
            <w:tcW w:w="6237" w:type="dxa"/>
            <w:gridSpan w:val="5"/>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before="120" w:after="120" w:line="240" w:lineRule="auto"/>
              <w:jc w:val="center"/>
            </w:pPr>
            <w:r>
              <w:t>% Change in production level following climate change policy .under different assumptions regarding electricity market structure</w:t>
            </w:r>
          </w:p>
        </w:tc>
      </w:tr>
      <w:tr w:rsidR="00B16EFA" w:rsidRPr="003539B3" w:rsidTr="00CC6491">
        <w:trPr>
          <w:trHeight w:val="1010"/>
        </w:trPr>
        <w:tc>
          <w:tcPr>
            <w:tcW w:w="572" w:type="dxa"/>
            <w:vMerge/>
            <w:tcBorders>
              <w:left w:val="single" w:sz="4" w:space="0" w:color="auto"/>
              <w:bottom w:val="single" w:sz="4" w:space="0" w:color="auto"/>
              <w:right w:val="single" w:sz="4" w:space="0" w:color="auto"/>
            </w:tcBorders>
          </w:tcPr>
          <w:p w:rsidR="00B16EFA" w:rsidRPr="003539B3" w:rsidRDefault="00B16EFA" w:rsidP="00CC6491">
            <w:pPr>
              <w:spacing w:before="120" w:after="120" w:line="240" w:lineRule="auto"/>
            </w:pPr>
          </w:p>
        </w:tc>
        <w:tc>
          <w:tcPr>
            <w:tcW w:w="1379" w:type="dxa"/>
            <w:vMerge/>
            <w:tcBorders>
              <w:left w:val="single" w:sz="4" w:space="0" w:color="auto"/>
              <w:bottom w:val="single" w:sz="4" w:space="0" w:color="auto"/>
              <w:right w:val="single" w:sz="4" w:space="0" w:color="auto"/>
            </w:tcBorders>
          </w:tcPr>
          <w:p w:rsidR="00B16EFA" w:rsidRDefault="00B16EFA" w:rsidP="00CC6491">
            <w:pPr>
              <w:spacing w:before="120" w:after="120" w:line="240" w:lineRule="auto"/>
            </w:pPr>
          </w:p>
        </w:tc>
        <w:tc>
          <w:tcPr>
            <w:tcW w:w="1134" w:type="dxa"/>
            <w:tcBorders>
              <w:top w:val="single" w:sz="4" w:space="0" w:color="auto"/>
              <w:left w:val="single" w:sz="4" w:space="0" w:color="auto"/>
              <w:bottom w:val="single" w:sz="4" w:space="0" w:color="auto"/>
              <w:right w:val="single" w:sz="4" w:space="0" w:color="auto"/>
            </w:tcBorders>
            <w:vAlign w:val="center"/>
          </w:tcPr>
          <w:p w:rsidR="00B16EFA" w:rsidRPr="00AA1027" w:rsidRDefault="00B16EFA" w:rsidP="00CC6491">
            <w:pPr>
              <w:spacing w:before="120" w:after="120" w:line="240" w:lineRule="auto"/>
              <w:jc w:val="center"/>
              <w:rPr>
                <w:sz w:val="18"/>
                <w:szCs w:val="18"/>
              </w:rPr>
            </w:pPr>
            <w:r w:rsidRPr="00AA1027">
              <w:rPr>
                <w:sz w:val="18"/>
                <w:szCs w:val="18"/>
              </w:rPr>
              <w:t>CRESH</w:t>
            </w:r>
            <w:r>
              <w:rPr>
                <w:sz w:val="18"/>
                <w:szCs w:val="18"/>
              </w:rPr>
              <w:t xml:space="preserve"> (a)</w:t>
            </w:r>
            <w:r>
              <w:rPr>
                <w:sz w:val="18"/>
                <w:szCs w:val="18"/>
              </w:rPr>
              <w:br/>
              <w:t>with output adjustment</w:t>
            </w:r>
          </w:p>
        </w:tc>
        <w:tc>
          <w:tcPr>
            <w:tcW w:w="1275" w:type="dxa"/>
            <w:tcBorders>
              <w:left w:val="single" w:sz="4" w:space="0" w:color="auto"/>
              <w:bottom w:val="single" w:sz="4" w:space="0" w:color="auto"/>
              <w:right w:val="single" w:sz="4" w:space="0" w:color="auto"/>
            </w:tcBorders>
            <w:vAlign w:val="center"/>
          </w:tcPr>
          <w:p w:rsidR="00B16EFA" w:rsidRDefault="00B16EFA" w:rsidP="00CC6491">
            <w:pPr>
              <w:spacing w:before="120" w:after="120" w:line="240" w:lineRule="auto"/>
              <w:jc w:val="center"/>
            </w:pPr>
            <w:r w:rsidRPr="00AA1027">
              <w:rPr>
                <w:sz w:val="18"/>
                <w:szCs w:val="18"/>
              </w:rPr>
              <w:t>CRESH</w:t>
            </w:r>
            <w:r>
              <w:rPr>
                <w:sz w:val="18"/>
                <w:szCs w:val="18"/>
              </w:rPr>
              <w:t xml:space="preserve"> (b)</w:t>
            </w:r>
            <w:r>
              <w:rPr>
                <w:sz w:val="18"/>
                <w:szCs w:val="18"/>
              </w:rPr>
              <w:br/>
              <w:t>without output adjustment</w:t>
            </w:r>
          </w:p>
        </w:tc>
        <w:tc>
          <w:tcPr>
            <w:tcW w:w="1276" w:type="dxa"/>
            <w:tcBorders>
              <w:left w:val="single" w:sz="4" w:space="0" w:color="auto"/>
              <w:bottom w:val="single" w:sz="4" w:space="0" w:color="auto"/>
              <w:right w:val="single" w:sz="4" w:space="0" w:color="auto"/>
            </w:tcBorders>
            <w:vAlign w:val="center"/>
          </w:tcPr>
          <w:p w:rsidR="00B16EFA" w:rsidRPr="00BC3DED" w:rsidRDefault="00B16EFA" w:rsidP="00CC6491">
            <w:pPr>
              <w:spacing w:before="120" w:after="120" w:line="240" w:lineRule="auto"/>
              <w:jc w:val="center"/>
              <w:rPr>
                <w:sz w:val="18"/>
                <w:szCs w:val="18"/>
              </w:rPr>
            </w:pPr>
            <w:r w:rsidRPr="00BC3DED">
              <w:rPr>
                <w:sz w:val="18"/>
                <w:szCs w:val="18"/>
              </w:rPr>
              <w:t>IC (1)</w:t>
            </w:r>
            <w:r w:rsidRPr="00BC3DED">
              <w:rPr>
                <w:sz w:val="18"/>
                <w:szCs w:val="18"/>
              </w:rPr>
              <w:br/>
            </w:r>
            <w:proofErr w:type="spellStart"/>
            <w:r w:rsidRPr="00BC3DED">
              <w:rPr>
                <w:sz w:val="18"/>
                <w:szCs w:val="18"/>
              </w:rPr>
              <w:t>ElyCoa</w:t>
            </w:r>
            <w:proofErr w:type="spellEnd"/>
            <w:r w:rsidRPr="00BC3DED">
              <w:rPr>
                <w:sz w:val="18"/>
                <w:szCs w:val="18"/>
              </w:rPr>
              <w:br/>
              <w:t>as IC</w:t>
            </w:r>
          </w:p>
        </w:tc>
        <w:tc>
          <w:tcPr>
            <w:tcW w:w="1276" w:type="dxa"/>
            <w:tcBorders>
              <w:left w:val="single" w:sz="4" w:space="0" w:color="auto"/>
              <w:bottom w:val="single" w:sz="4" w:space="0" w:color="auto"/>
              <w:right w:val="single" w:sz="4" w:space="0" w:color="auto"/>
            </w:tcBorders>
            <w:vAlign w:val="center"/>
          </w:tcPr>
          <w:p w:rsidR="00B16EFA" w:rsidRPr="00BC3DED" w:rsidRDefault="00B16EFA" w:rsidP="00CC6491">
            <w:pPr>
              <w:spacing w:before="120" w:after="120" w:line="240" w:lineRule="auto"/>
              <w:jc w:val="center"/>
              <w:rPr>
                <w:sz w:val="18"/>
                <w:szCs w:val="18"/>
              </w:rPr>
            </w:pPr>
            <w:r w:rsidRPr="00BC3DED">
              <w:rPr>
                <w:sz w:val="18"/>
                <w:szCs w:val="18"/>
              </w:rPr>
              <w:t>IC (2)</w:t>
            </w:r>
            <w:r w:rsidRPr="00BC3DED">
              <w:rPr>
                <w:sz w:val="18"/>
                <w:szCs w:val="18"/>
              </w:rPr>
              <w:br/>
            </w:r>
            <w:proofErr w:type="spellStart"/>
            <w:r w:rsidRPr="00BC3DED">
              <w:rPr>
                <w:sz w:val="18"/>
                <w:szCs w:val="18"/>
              </w:rPr>
              <w:t>ElyCoa</w:t>
            </w:r>
            <w:proofErr w:type="spellEnd"/>
            <w:r w:rsidRPr="00BC3DED">
              <w:rPr>
                <w:sz w:val="18"/>
                <w:szCs w:val="18"/>
              </w:rPr>
              <w:t xml:space="preserve">, </w:t>
            </w:r>
            <w:proofErr w:type="spellStart"/>
            <w:r w:rsidRPr="00BC3DED">
              <w:rPr>
                <w:sz w:val="18"/>
                <w:szCs w:val="18"/>
              </w:rPr>
              <w:t>ElyLWR</w:t>
            </w:r>
            <w:proofErr w:type="spellEnd"/>
            <w:r w:rsidRPr="00BC3DED">
              <w:rPr>
                <w:sz w:val="18"/>
                <w:szCs w:val="18"/>
              </w:rPr>
              <w:br/>
              <w:t>as ICs</w:t>
            </w:r>
          </w:p>
        </w:tc>
        <w:tc>
          <w:tcPr>
            <w:tcW w:w="1276" w:type="dxa"/>
            <w:tcBorders>
              <w:left w:val="single" w:sz="4" w:space="0" w:color="auto"/>
              <w:bottom w:val="single" w:sz="4" w:space="0" w:color="auto"/>
              <w:right w:val="single" w:sz="4" w:space="0" w:color="auto"/>
            </w:tcBorders>
            <w:vAlign w:val="center"/>
          </w:tcPr>
          <w:p w:rsidR="00B16EFA" w:rsidRPr="00BC3DED" w:rsidRDefault="00B16EFA" w:rsidP="00CC6491">
            <w:pPr>
              <w:spacing w:before="120" w:after="120" w:line="240" w:lineRule="auto"/>
              <w:jc w:val="center"/>
              <w:rPr>
                <w:sz w:val="18"/>
                <w:szCs w:val="18"/>
              </w:rPr>
            </w:pPr>
            <w:r w:rsidRPr="00BC3DED">
              <w:rPr>
                <w:sz w:val="18"/>
                <w:szCs w:val="18"/>
              </w:rPr>
              <w:t>IC (3)</w:t>
            </w:r>
            <w:r w:rsidRPr="00BC3DED">
              <w:rPr>
                <w:sz w:val="18"/>
                <w:szCs w:val="18"/>
              </w:rPr>
              <w:br/>
            </w:r>
            <w:proofErr w:type="spellStart"/>
            <w:r w:rsidRPr="00BC3DED">
              <w:rPr>
                <w:sz w:val="18"/>
                <w:szCs w:val="18"/>
              </w:rPr>
              <w:t>ElyCoa</w:t>
            </w:r>
            <w:proofErr w:type="spellEnd"/>
            <w:r w:rsidRPr="00BC3DED">
              <w:rPr>
                <w:sz w:val="18"/>
                <w:szCs w:val="18"/>
              </w:rPr>
              <w:t xml:space="preserve">, </w:t>
            </w:r>
            <w:proofErr w:type="spellStart"/>
            <w:r w:rsidRPr="00BC3DED">
              <w:rPr>
                <w:sz w:val="18"/>
                <w:szCs w:val="18"/>
              </w:rPr>
              <w:t>ElyLWR</w:t>
            </w:r>
            <w:proofErr w:type="spellEnd"/>
            <w:r w:rsidRPr="00BC3DED">
              <w:rPr>
                <w:sz w:val="18"/>
                <w:szCs w:val="18"/>
              </w:rPr>
              <w:t xml:space="preserve"> </w:t>
            </w:r>
            <w:proofErr w:type="spellStart"/>
            <w:r w:rsidRPr="00BC3DED">
              <w:rPr>
                <w:sz w:val="18"/>
                <w:szCs w:val="18"/>
              </w:rPr>
              <w:t>ElyHyd</w:t>
            </w:r>
            <w:proofErr w:type="spellEnd"/>
            <w:r w:rsidRPr="00BC3DED">
              <w:rPr>
                <w:sz w:val="18"/>
                <w:szCs w:val="18"/>
              </w:rPr>
              <w:br/>
              <w:t>as ICs</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1</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agr</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-1.1</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-0.3</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-0.9</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2</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coa</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-17.5</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-13.1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-24.6</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-24.6</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3</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r>
              <w:rPr>
                <w:rFonts w:ascii="Calibri" w:hAnsi="Calibri"/>
                <w:color w:val="000000"/>
                <w:sz w:val="22"/>
                <w:szCs w:val="22"/>
              </w:rPr>
              <w:t>oil</w:t>
            </w:r>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-17.2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-18.1</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4</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r>
              <w:rPr>
                <w:rFonts w:ascii="Calibri" w:hAnsi="Calibri"/>
                <w:color w:val="000000"/>
                <w:sz w:val="22"/>
                <w:szCs w:val="22"/>
              </w:rPr>
              <w:t>gas</w:t>
            </w:r>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-31.1</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-22.2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-20.5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-23.7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-24.3</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5</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p_c</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-13.9</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-5.3</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-17.2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-18.5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-18.4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6</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36.2</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-9.9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-2.8</w:t>
            </w:r>
          </w:p>
        </w:tc>
      </w:tr>
      <w:tr w:rsidR="00B16EFA" w:rsidRPr="002F1961" w:rsidTr="00B16EFA">
        <w:tc>
          <w:tcPr>
            <w:tcW w:w="572" w:type="dxa"/>
            <w:tcBorders>
              <w:top w:val="single" w:sz="4" w:space="0" w:color="auto"/>
              <w:left w:val="single" w:sz="4" w:space="0" w:color="auto"/>
              <w:bottom w:val="single" w:sz="4" w:space="0" w:color="auto"/>
              <w:right w:val="single" w:sz="4" w:space="0" w:color="auto"/>
            </w:tcBorders>
          </w:tcPr>
          <w:p w:rsidR="00B16EFA" w:rsidRPr="002F1961" w:rsidRDefault="00B16EFA" w:rsidP="00B16EFA">
            <w:pPr>
              <w:spacing w:after="0" w:line="240" w:lineRule="auto"/>
            </w:pPr>
            <w:r w:rsidRPr="002F1961">
              <w:t>7</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i_s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-4.5</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-11.7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-11.6</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-11.3</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2F1961" w:rsidRDefault="00B16EFA" w:rsidP="00B16EFA">
            <w:pPr>
              <w:spacing w:after="0" w:line="240" w:lineRule="auto"/>
            </w:pPr>
            <w:r w:rsidRPr="002F1961">
              <w:t>8</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nfm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-5.9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-5.5</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t>9</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r>
              <w:rPr>
                <w:rFonts w:ascii="Calibri" w:hAnsi="Calibri"/>
                <w:color w:val="000000"/>
                <w:sz w:val="22"/>
                <w:szCs w:val="22"/>
              </w:rPr>
              <w:t>min</w:t>
            </w:r>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-2.1</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t>10</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crp</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-6.6</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-6.8</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1</w:t>
            </w:r>
            <w:r>
              <w:t>1</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omf</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-1.3</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t>12</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trp</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-2.5</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-3.5</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r w:rsidRPr="003539B3">
              <w:t>1</w:t>
            </w:r>
            <w:r>
              <w:t>3</w:t>
            </w: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r>
              <w:rPr>
                <w:rFonts w:ascii="Calibri" w:hAnsi="Calibri"/>
                <w:color w:val="000000"/>
                <w:sz w:val="22"/>
                <w:szCs w:val="22"/>
              </w:rPr>
              <w:t>ser</w:t>
            </w:r>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-0.5</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-0.5</w:t>
            </w:r>
          </w:p>
        </w:tc>
      </w:tr>
      <w:tr w:rsidR="00CC6491" w:rsidRPr="003539B3" w:rsidTr="00B16EFA">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B16EFA">
            <w:pPr>
              <w:spacing w:after="0" w:line="240" w:lineRule="auto"/>
            </w:pPr>
            <w:r w:rsidRPr="003539B3">
              <w:t>1</w:t>
            </w:r>
            <w:r>
              <w:t>4</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B16EFA">
            <w:pPr>
              <w:spacing w:after="0" w:line="240" w:lineRule="auto"/>
              <w:rPr>
                <w:rFonts w:ascii="Calibri" w:hAnsi="Calibri"/>
                <w:color w:val="000000"/>
                <w:sz w:val="22"/>
                <w:szCs w:val="22"/>
              </w:rPr>
            </w:pPr>
            <w:r>
              <w:rPr>
                <w:rFonts w:ascii="Calibri" w:hAnsi="Calibri"/>
                <w:color w:val="000000"/>
                <w:sz w:val="22"/>
                <w:szCs w:val="22"/>
              </w:rPr>
              <w:t>CGDS</w:t>
            </w:r>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-0.16</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-0.01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0.05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0.03</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0.02</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ElyCoa</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-12.2</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-52.4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-91.3</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-25.7</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ElyOil</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106.8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15.6</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47.9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24.5</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ElyGas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-81.8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47.9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24.5</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ElyLWR</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163.5</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19.0</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-25.7</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ElyHyd</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157</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16.4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21.6</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-25.7</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ElyWON</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146.4</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12.2</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43.7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34.4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ElySol</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146.4</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11.9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43.7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34.4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ElyBio</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146.8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12.6</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43.7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34.4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ElyWas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147.1</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12.4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43.7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34.4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ElyOth</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146.8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12.7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69.5</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43.7</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34.4</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CoaCCS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55.5</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-22.9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47.9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24.5</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OilCCS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218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47.4</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47.9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24.5</w:t>
            </w:r>
          </w:p>
        </w:tc>
      </w:tr>
      <w:tr w:rsidR="00B16EFA" w:rsidRPr="003539B3" w:rsidTr="00B16EFA">
        <w:tc>
          <w:tcPr>
            <w:tcW w:w="572" w:type="dxa"/>
            <w:tcBorders>
              <w:top w:val="single" w:sz="4" w:space="0" w:color="auto"/>
              <w:left w:val="single" w:sz="4" w:space="0" w:color="auto"/>
              <w:bottom w:val="single" w:sz="4" w:space="0" w:color="auto"/>
              <w:right w:val="single" w:sz="4" w:space="0" w:color="auto"/>
            </w:tcBorders>
          </w:tcPr>
          <w:p w:rsidR="00B16EFA" w:rsidRPr="003539B3" w:rsidRDefault="00B16EFA" w:rsidP="00B16EFA">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rPr>
                <w:rFonts w:ascii="Calibri" w:hAnsi="Calibri"/>
                <w:color w:val="000000"/>
                <w:sz w:val="22"/>
                <w:szCs w:val="22"/>
              </w:rPr>
            </w:pPr>
            <w:proofErr w:type="spellStart"/>
            <w:r>
              <w:rPr>
                <w:rFonts w:ascii="Calibri" w:hAnsi="Calibri"/>
                <w:color w:val="000000"/>
                <w:sz w:val="22"/>
                <w:szCs w:val="22"/>
              </w:rPr>
              <w:t>GasCCS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-57.8</w:t>
            </w:r>
          </w:p>
        </w:tc>
        <w:tc>
          <w:tcPr>
            <w:tcW w:w="1275"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-45.1</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47.9</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30.8</w:t>
            </w:r>
          </w:p>
        </w:tc>
        <w:tc>
          <w:tcPr>
            <w:tcW w:w="1276" w:type="dxa"/>
            <w:tcBorders>
              <w:top w:val="single" w:sz="4" w:space="0" w:color="auto"/>
              <w:left w:val="single" w:sz="4" w:space="0" w:color="auto"/>
              <w:bottom w:val="single" w:sz="4" w:space="0" w:color="auto"/>
              <w:right w:val="single" w:sz="4" w:space="0" w:color="auto"/>
            </w:tcBorders>
            <w:vAlign w:val="bottom"/>
          </w:tcPr>
          <w:p w:rsidR="00B16EFA" w:rsidRDefault="00B16EFA" w:rsidP="00B16EFA">
            <w:pPr>
              <w:spacing w:after="0" w:line="240" w:lineRule="auto"/>
              <w:jc w:val="right"/>
              <w:rPr>
                <w:rFonts w:ascii="Calibri" w:hAnsi="Calibri"/>
                <w:color w:val="000000"/>
                <w:sz w:val="22"/>
                <w:szCs w:val="22"/>
              </w:rPr>
            </w:pPr>
            <w:r>
              <w:rPr>
                <w:rFonts w:ascii="Calibri" w:hAnsi="Calibri"/>
                <w:color w:val="000000"/>
                <w:sz w:val="22"/>
                <w:szCs w:val="22"/>
              </w:rPr>
              <w:t>24.5</w:t>
            </w:r>
          </w:p>
        </w:tc>
      </w:tr>
    </w:tbl>
    <w:p w:rsidR="00BC3DED" w:rsidRDefault="00BC3DED" w:rsidP="00BC3DED">
      <w:pPr>
        <w:jc w:val="left"/>
      </w:pPr>
    </w:p>
    <w:p w:rsidR="00CC6491" w:rsidRDefault="00CC6491" w:rsidP="00CC6491">
      <w:pPr>
        <w:autoSpaceDE w:val="0"/>
        <w:autoSpaceDN w:val="0"/>
        <w:adjustRightInd w:val="0"/>
        <w:spacing w:after="0" w:line="240" w:lineRule="auto"/>
      </w:pPr>
      <w:r>
        <w:br w:type="column"/>
      </w:r>
      <w:r>
        <w:lastRenderedPageBreak/>
        <w:t xml:space="preserve">Table 8: Change in price level.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
        <w:gridCol w:w="1379"/>
        <w:gridCol w:w="1134"/>
        <w:gridCol w:w="1275"/>
        <w:gridCol w:w="1276"/>
        <w:gridCol w:w="1276"/>
        <w:gridCol w:w="1276"/>
      </w:tblGrid>
      <w:tr w:rsidR="00CC6491" w:rsidRPr="003539B3" w:rsidTr="00CC6491">
        <w:trPr>
          <w:trHeight w:val="1010"/>
        </w:trPr>
        <w:tc>
          <w:tcPr>
            <w:tcW w:w="572" w:type="dxa"/>
            <w:vMerge w:val="restart"/>
            <w:tcBorders>
              <w:top w:val="single" w:sz="4" w:space="0" w:color="auto"/>
              <w:left w:val="single" w:sz="4" w:space="0" w:color="auto"/>
              <w:right w:val="single" w:sz="4" w:space="0" w:color="auto"/>
            </w:tcBorders>
          </w:tcPr>
          <w:p w:rsidR="00CC6491" w:rsidRPr="003539B3" w:rsidRDefault="00CC6491" w:rsidP="00CC6491">
            <w:pPr>
              <w:spacing w:before="120" w:after="120" w:line="240" w:lineRule="auto"/>
            </w:pPr>
            <w:r w:rsidRPr="003539B3">
              <w:t>No.</w:t>
            </w:r>
          </w:p>
        </w:tc>
        <w:tc>
          <w:tcPr>
            <w:tcW w:w="1379" w:type="dxa"/>
            <w:vMerge w:val="restart"/>
            <w:tcBorders>
              <w:top w:val="single" w:sz="4" w:space="0" w:color="auto"/>
              <w:left w:val="single" w:sz="4" w:space="0" w:color="auto"/>
              <w:right w:val="single" w:sz="4" w:space="0" w:color="auto"/>
            </w:tcBorders>
          </w:tcPr>
          <w:p w:rsidR="00CC6491" w:rsidRPr="003539B3" w:rsidRDefault="00CC6491" w:rsidP="00CC6491">
            <w:pPr>
              <w:spacing w:before="120" w:after="120" w:line="240" w:lineRule="auto"/>
            </w:pPr>
            <w:r>
              <w:t>Sector/</w:t>
            </w:r>
            <w:r>
              <w:br/>
              <w:t>technology</w:t>
            </w:r>
          </w:p>
        </w:tc>
        <w:tc>
          <w:tcPr>
            <w:tcW w:w="6237" w:type="dxa"/>
            <w:gridSpan w:val="5"/>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before="120" w:after="120" w:line="240" w:lineRule="auto"/>
              <w:jc w:val="center"/>
            </w:pPr>
            <w:r>
              <w:t>% Change in price  level following climate change policy .under different assumptions regarding electricity market structure</w:t>
            </w:r>
          </w:p>
        </w:tc>
      </w:tr>
      <w:tr w:rsidR="00CC6491" w:rsidRPr="003539B3" w:rsidTr="00CC6491">
        <w:trPr>
          <w:trHeight w:val="1010"/>
        </w:trPr>
        <w:tc>
          <w:tcPr>
            <w:tcW w:w="572" w:type="dxa"/>
            <w:vMerge/>
            <w:tcBorders>
              <w:left w:val="single" w:sz="4" w:space="0" w:color="auto"/>
              <w:bottom w:val="single" w:sz="4" w:space="0" w:color="auto"/>
              <w:right w:val="single" w:sz="4" w:space="0" w:color="auto"/>
            </w:tcBorders>
          </w:tcPr>
          <w:p w:rsidR="00CC6491" w:rsidRPr="003539B3" w:rsidRDefault="00CC6491" w:rsidP="00CC6491">
            <w:pPr>
              <w:spacing w:before="120" w:after="120" w:line="240" w:lineRule="auto"/>
            </w:pPr>
          </w:p>
        </w:tc>
        <w:tc>
          <w:tcPr>
            <w:tcW w:w="1379" w:type="dxa"/>
            <w:vMerge/>
            <w:tcBorders>
              <w:left w:val="single" w:sz="4" w:space="0" w:color="auto"/>
              <w:bottom w:val="single" w:sz="4" w:space="0" w:color="auto"/>
              <w:right w:val="single" w:sz="4" w:space="0" w:color="auto"/>
            </w:tcBorders>
          </w:tcPr>
          <w:p w:rsidR="00CC6491" w:rsidRDefault="00CC6491" w:rsidP="00CC6491">
            <w:pPr>
              <w:spacing w:before="120" w:after="120" w:line="240" w:lineRule="auto"/>
            </w:pPr>
          </w:p>
        </w:tc>
        <w:tc>
          <w:tcPr>
            <w:tcW w:w="1134" w:type="dxa"/>
            <w:tcBorders>
              <w:top w:val="single" w:sz="4" w:space="0" w:color="auto"/>
              <w:left w:val="single" w:sz="4" w:space="0" w:color="auto"/>
              <w:bottom w:val="single" w:sz="4" w:space="0" w:color="auto"/>
              <w:right w:val="single" w:sz="4" w:space="0" w:color="auto"/>
            </w:tcBorders>
            <w:vAlign w:val="center"/>
          </w:tcPr>
          <w:p w:rsidR="00CC6491" w:rsidRPr="00AA1027" w:rsidRDefault="00CC6491" w:rsidP="00CC6491">
            <w:pPr>
              <w:spacing w:before="120" w:after="120" w:line="240" w:lineRule="auto"/>
              <w:jc w:val="center"/>
              <w:rPr>
                <w:sz w:val="18"/>
                <w:szCs w:val="18"/>
              </w:rPr>
            </w:pPr>
            <w:r w:rsidRPr="00AA1027">
              <w:rPr>
                <w:sz w:val="18"/>
                <w:szCs w:val="18"/>
              </w:rPr>
              <w:t>CRESH</w:t>
            </w:r>
            <w:r>
              <w:rPr>
                <w:sz w:val="18"/>
                <w:szCs w:val="18"/>
              </w:rPr>
              <w:t xml:space="preserve"> (a)</w:t>
            </w:r>
            <w:r>
              <w:rPr>
                <w:sz w:val="18"/>
                <w:szCs w:val="18"/>
              </w:rPr>
              <w:br/>
              <w:t>with output adjustment</w:t>
            </w:r>
          </w:p>
        </w:tc>
        <w:tc>
          <w:tcPr>
            <w:tcW w:w="1275" w:type="dxa"/>
            <w:tcBorders>
              <w:left w:val="single" w:sz="4" w:space="0" w:color="auto"/>
              <w:bottom w:val="single" w:sz="4" w:space="0" w:color="auto"/>
              <w:right w:val="single" w:sz="4" w:space="0" w:color="auto"/>
            </w:tcBorders>
            <w:vAlign w:val="center"/>
          </w:tcPr>
          <w:p w:rsidR="00CC6491" w:rsidRDefault="00CC6491" w:rsidP="00CC6491">
            <w:pPr>
              <w:spacing w:before="120" w:after="120" w:line="240" w:lineRule="auto"/>
              <w:jc w:val="center"/>
            </w:pPr>
            <w:r w:rsidRPr="00AA1027">
              <w:rPr>
                <w:sz w:val="18"/>
                <w:szCs w:val="18"/>
              </w:rPr>
              <w:t>CRESH</w:t>
            </w:r>
            <w:r>
              <w:rPr>
                <w:sz w:val="18"/>
                <w:szCs w:val="18"/>
              </w:rPr>
              <w:t xml:space="preserve"> (b)</w:t>
            </w:r>
            <w:r>
              <w:rPr>
                <w:sz w:val="18"/>
                <w:szCs w:val="18"/>
              </w:rPr>
              <w:br/>
              <w:t>without output adjustment</w:t>
            </w:r>
          </w:p>
        </w:tc>
        <w:tc>
          <w:tcPr>
            <w:tcW w:w="1276" w:type="dxa"/>
            <w:tcBorders>
              <w:left w:val="single" w:sz="4" w:space="0" w:color="auto"/>
              <w:bottom w:val="single" w:sz="4" w:space="0" w:color="auto"/>
              <w:right w:val="single" w:sz="4" w:space="0" w:color="auto"/>
            </w:tcBorders>
            <w:vAlign w:val="center"/>
          </w:tcPr>
          <w:p w:rsidR="00CC6491" w:rsidRPr="00BC3DED" w:rsidRDefault="00CC6491" w:rsidP="00CC6491">
            <w:pPr>
              <w:spacing w:before="120" w:after="120" w:line="240" w:lineRule="auto"/>
              <w:jc w:val="center"/>
              <w:rPr>
                <w:sz w:val="18"/>
                <w:szCs w:val="18"/>
              </w:rPr>
            </w:pPr>
            <w:r w:rsidRPr="00BC3DED">
              <w:rPr>
                <w:sz w:val="18"/>
                <w:szCs w:val="18"/>
              </w:rPr>
              <w:t>IC (1)</w:t>
            </w:r>
            <w:r w:rsidRPr="00BC3DED">
              <w:rPr>
                <w:sz w:val="18"/>
                <w:szCs w:val="18"/>
              </w:rPr>
              <w:br/>
            </w:r>
            <w:proofErr w:type="spellStart"/>
            <w:r w:rsidRPr="00BC3DED">
              <w:rPr>
                <w:sz w:val="18"/>
                <w:szCs w:val="18"/>
              </w:rPr>
              <w:t>ElyCoa</w:t>
            </w:r>
            <w:proofErr w:type="spellEnd"/>
            <w:r w:rsidRPr="00BC3DED">
              <w:rPr>
                <w:sz w:val="18"/>
                <w:szCs w:val="18"/>
              </w:rPr>
              <w:br/>
              <w:t>as IC</w:t>
            </w:r>
          </w:p>
        </w:tc>
        <w:tc>
          <w:tcPr>
            <w:tcW w:w="1276" w:type="dxa"/>
            <w:tcBorders>
              <w:left w:val="single" w:sz="4" w:space="0" w:color="auto"/>
              <w:bottom w:val="single" w:sz="4" w:space="0" w:color="auto"/>
              <w:right w:val="single" w:sz="4" w:space="0" w:color="auto"/>
            </w:tcBorders>
            <w:vAlign w:val="center"/>
          </w:tcPr>
          <w:p w:rsidR="00CC6491" w:rsidRPr="00BC3DED" w:rsidRDefault="00CC6491" w:rsidP="00CC6491">
            <w:pPr>
              <w:spacing w:before="120" w:after="120" w:line="240" w:lineRule="auto"/>
              <w:jc w:val="center"/>
              <w:rPr>
                <w:sz w:val="18"/>
                <w:szCs w:val="18"/>
              </w:rPr>
            </w:pPr>
            <w:r w:rsidRPr="00BC3DED">
              <w:rPr>
                <w:sz w:val="18"/>
                <w:szCs w:val="18"/>
              </w:rPr>
              <w:t>IC (2)</w:t>
            </w:r>
            <w:r w:rsidRPr="00BC3DED">
              <w:rPr>
                <w:sz w:val="18"/>
                <w:szCs w:val="18"/>
              </w:rPr>
              <w:br/>
            </w:r>
            <w:proofErr w:type="spellStart"/>
            <w:r w:rsidRPr="00BC3DED">
              <w:rPr>
                <w:sz w:val="18"/>
                <w:szCs w:val="18"/>
              </w:rPr>
              <w:t>ElyCoa</w:t>
            </w:r>
            <w:proofErr w:type="spellEnd"/>
            <w:r w:rsidRPr="00BC3DED">
              <w:rPr>
                <w:sz w:val="18"/>
                <w:szCs w:val="18"/>
              </w:rPr>
              <w:t xml:space="preserve">, </w:t>
            </w:r>
            <w:proofErr w:type="spellStart"/>
            <w:r w:rsidRPr="00BC3DED">
              <w:rPr>
                <w:sz w:val="18"/>
                <w:szCs w:val="18"/>
              </w:rPr>
              <w:t>ElyLWR</w:t>
            </w:r>
            <w:proofErr w:type="spellEnd"/>
            <w:r w:rsidRPr="00BC3DED">
              <w:rPr>
                <w:sz w:val="18"/>
                <w:szCs w:val="18"/>
              </w:rPr>
              <w:br/>
              <w:t>as ICs</w:t>
            </w:r>
          </w:p>
        </w:tc>
        <w:tc>
          <w:tcPr>
            <w:tcW w:w="1276" w:type="dxa"/>
            <w:tcBorders>
              <w:left w:val="single" w:sz="4" w:space="0" w:color="auto"/>
              <w:bottom w:val="single" w:sz="4" w:space="0" w:color="auto"/>
              <w:right w:val="single" w:sz="4" w:space="0" w:color="auto"/>
            </w:tcBorders>
            <w:vAlign w:val="center"/>
          </w:tcPr>
          <w:p w:rsidR="00CC6491" w:rsidRPr="00BC3DED" w:rsidRDefault="00CC6491" w:rsidP="00CC6491">
            <w:pPr>
              <w:spacing w:before="120" w:after="120" w:line="240" w:lineRule="auto"/>
              <w:jc w:val="center"/>
              <w:rPr>
                <w:sz w:val="18"/>
                <w:szCs w:val="18"/>
              </w:rPr>
            </w:pPr>
            <w:r w:rsidRPr="00BC3DED">
              <w:rPr>
                <w:sz w:val="18"/>
                <w:szCs w:val="18"/>
              </w:rPr>
              <w:t>IC (3)</w:t>
            </w:r>
            <w:r w:rsidRPr="00BC3DED">
              <w:rPr>
                <w:sz w:val="18"/>
                <w:szCs w:val="18"/>
              </w:rPr>
              <w:br/>
            </w:r>
            <w:proofErr w:type="spellStart"/>
            <w:r w:rsidRPr="00BC3DED">
              <w:rPr>
                <w:sz w:val="18"/>
                <w:szCs w:val="18"/>
              </w:rPr>
              <w:t>ElyCoa</w:t>
            </w:r>
            <w:proofErr w:type="spellEnd"/>
            <w:r w:rsidRPr="00BC3DED">
              <w:rPr>
                <w:sz w:val="18"/>
                <w:szCs w:val="18"/>
              </w:rPr>
              <w:t xml:space="preserve">, </w:t>
            </w:r>
            <w:proofErr w:type="spellStart"/>
            <w:r w:rsidRPr="00BC3DED">
              <w:rPr>
                <w:sz w:val="18"/>
                <w:szCs w:val="18"/>
              </w:rPr>
              <w:t>ElyLWR</w:t>
            </w:r>
            <w:proofErr w:type="spellEnd"/>
            <w:r w:rsidRPr="00BC3DED">
              <w:rPr>
                <w:sz w:val="18"/>
                <w:szCs w:val="18"/>
              </w:rPr>
              <w:t xml:space="preserve"> </w:t>
            </w:r>
            <w:proofErr w:type="spellStart"/>
            <w:r w:rsidRPr="00BC3DED">
              <w:rPr>
                <w:sz w:val="18"/>
                <w:szCs w:val="18"/>
              </w:rPr>
              <w:t>ElyHyd</w:t>
            </w:r>
            <w:proofErr w:type="spellEnd"/>
            <w:r w:rsidRPr="00BC3DED">
              <w:rPr>
                <w:sz w:val="18"/>
                <w:szCs w:val="18"/>
              </w:rPr>
              <w:br/>
              <w:t>as ICs</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1</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agr</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2.1</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2</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coa</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-4.8</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-3.3</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-7.6</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3</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r>
              <w:rPr>
                <w:rFonts w:ascii="Calibri" w:hAnsi="Calibri"/>
                <w:color w:val="000000"/>
                <w:sz w:val="22"/>
                <w:szCs w:val="22"/>
              </w:rPr>
              <w:t>oil</w:t>
            </w:r>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-5.4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-6.5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-6.7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-6.7</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4</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r>
              <w:rPr>
                <w:rFonts w:ascii="Calibri" w:hAnsi="Calibri"/>
                <w:color w:val="000000"/>
                <w:sz w:val="22"/>
                <w:szCs w:val="22"/>
              </w:rPr>
              <w:t>gas</w:t>
            </w:r>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3.3</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2.1</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5</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p_c</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-1.3</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0.0</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6</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-26.2</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21.6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11.6</w:t>
            </w:r>
          </w:p>
        </w:tc>
      </w:tr>
      <w:tr w:rsidR="00CC6491" w:rsidRPr="002F1961" w:rsidTr="00CC6491">
        <w:tc>
          <w:tcPr>
            <w:tcW w:w="572" w:type="dxa"/>
            <w:tcBorders>
              <w:top w:val="single" w:sz="4" w:space="0" w:color="auto"/>
              <w:left w:val="single" w:sz="4" w:space="0" w:color="auto"/>
              <w:bottom w:val="single" w:sz="4" w:space="0" w:color="auto"/>
              <w:right w:val="single" w:sz="4" w:space="0" w:color="auto"/>
            </w:tcBorders>
          </w:tcPr>
          <w:p w:rsidR="00CC6491" w:rsidRPr="002F1961" w:rsidRDefault="00CC6491" w:rsidP="00CC6491">
            <w:pPr>
              <w:spacing w:after="0" w:line="240" w:lineRule="auto"/>
            </w:pPr>
            <w:r w:rsidRPr="002F1961">
              <w:t>7</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i_s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3.7</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9.7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9.5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9.2</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2F1961" w:rsidRDefault="00CC6491" w:rsidP="00CC6491">
            <w:pPr>
              <w:spacing w:after="0" w:line="240" w:lineRule="auto"/>
            </w:pPr>
            <w:r w:rsidRPr="002F1961">
              <w:t>8</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nfm</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0.5</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0.8</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2.7</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t>9</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r>
              <w:rPr>
                <w:rFonts w:ascii="Calibri" w:hAnsi="Calibri"/>
                <w:color w:val="000000"/>
                <w:sz w:val="22"/>
                <w:szCs w:val="22"/>
              </w:rPr>
              <w:t>min</w:t>
            </w:r>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4.0</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6.9</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t>10</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crp</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2.6</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4.0</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1</w:t>
            </w:r>
            <w:r>
              <w:t>1</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omf</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1.5</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1.9</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t>12</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trp</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7.2</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7.6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8.2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8.2</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1</w:t>
            </w:r>
            <w:r>
              <w:t>3</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r>
              <w:rPr>
                <w:rFonts w:ascii="Calibri" w:hAnsi="Calibri"/>
                <w:color w:val="000000"/>
                <w:sz w:val="22"/>
                <w:szCs w:val="22"/>
              </w:rPr>
              <w:t>ser</w:t>
            </w:r>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0.8</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0.9</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r w:rsidRPr="003539B3">
              <w:t>1</w:t>
            </w:r>
            <w:r>
              <w:t>4</w:t>
            </w: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r>
              <w:rPr>
                <w:rFonts w:ascii="Calibri" w:hAnsi="Calibri"/>
                <w:color w:val="000000"/>
                <w:sz w:val="22"/>
                <w:szCs w:val="22"/>
              </w:rPr>
              <w:t>CGDS</w:t>
            </w:r>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1.3</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ElyCoa</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23.9</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21.2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12.1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12.1</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ElyOil</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1.9</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38.5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42.6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42.8</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ElyGas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26.4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11.9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47.5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53.3</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54.4</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ElyLWR</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-29.7</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-17.6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-30.2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-29.3</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ElyHyd</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-30.6</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ElyWON</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-0.8</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-0.5</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ElySol</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-1.3</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ElyBio</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0.4</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ElyWas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ElyOth</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-24.4</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-14.2</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0.5</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CoaCCS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10.5</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10.1</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97.3</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45.5</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41.2</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OilCCS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-6.5</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-6.4</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22.9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25.3</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25.5</w:t>
            </w:r>
          </w:p>
        </w:tc>
      </w:tr>
      <w:tr w:rsidR="00CC6491" w:rsidRPr="003539B3" w:rsidTr="00CC6491">
        <w:tc>
          <w:tcPr>
            <w:tcW w:w="572" w:type="dxa"/>
            <w:tcBorders>
              <w:top w:val="single" w:sz="4" w:space="0" w:color="auto"/>
              <w:left w:val="single" w:sz="4" w:space="0" w:color="auto"/>
              <w:bottom w:val="single" w:sz="4" w:space="0" w:color="auto"/>
              <w:right w:val="single" w:sz="4" w:space="0" w:color="auto"/>
            </w:tcBorders>
          </w:tcPr>
          <w:p w:rsidR="00CC6491" w:rsidRPr="003539B3" w:rsidRDefault="00CC6491" w:rsidP="00CC6491">
            <w:pPr>
              <w:spacing w:after="0" w:line="240" w:lineRule="auto"/>
            </w:pPr>
          </w:p>
        </w:tc>
        <w:tc>
          <w:tcPr>
            <w:tcW w:w="1379"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rPr>
                <w:rFonts w:ascii="Calibri" w:hAnsi="Calibri"/>
                <w:color w:val="000000"/>
                <w:sz w:val="22"/>
                <w:szCs w:val="22"/>
              </w:rPr>
            </w:pPr>
            <w:proofErr w:type="spellStart"/>
            <w:r>
              <w:rPr>
                <w:rFonts w:ascii="Calibri" w:hAnsi="Calibri"/>
                <w:color w:val="000000"/>
                <w:sz w:val="22"/>
                <w:szCs w:val="22"/>
              </w:rPr>
              <w:t>GasCCS</w:t>
            </w:r>
            <w:proofErr w:type="spellEnd"/>
          </w:p>
        </w:tc>
        <w:tc>
          <w:tcPr>
            <w:tcW w:w="1134"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16.2</w:t>
            </w:r>
          </w:p>
        </w:tc>
        <w:tc>
          <w:tcPr>
            <w:tcW w:w="1275"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5.7</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34.6</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39</w:t>
            </w:r>
          </w:p>
        </w:tc>
        <w:tc>
          <w:tcPr>
            <w:tcW w:w="1276" w:type="dxa"/>
            <w:tcBorders>
              <w:top w:val="single" w:sz="4" w:space="0" w:color="auto"/>
              <w:left w:val="single" w:sz="4" w:space="0" w:color="auto"/>
              <w:bottom w:val="single" w:sz="4" w:space="0" w:color="auto"/>
              <w:right w:val="single" w:sz="4" w:space="0" w:color="auto"/>
            </w:tcBorders>
            <w:vAlign w:val="bottom"/>
          </w:tcPr>
          <w:p w:rsidR="00CC6491" w:rsidRDefault="00CC6491" w:rsidP="00CC6491">
            <w:pPr>
              <w:spacing w:after="0" w:line="240" w:lineRule="auto"/>
              <w:jc w:val="right"/>
              <w:rPr>
                <w:rFonts w:ascii="Calibri" w:hAnsi="Calibri"/>
                <w:color w:val="000000"/>
                <w:sz w:val="22"/>
                <w:szCs w:val="22"/>
              </w:rPr>
            </w:pPr>
            <w:r>
              <w:rPr>
                <w:rFonts w:ascii="Calibri" w:hAnsi="Calibri"/>
                <w:color w:val="000000"/>
                <w:sz w:val="22"/>
                <w:szCs w:val="22"/>
              </w:rPr>
              <w:t>39.7</w:t>
            </w:r>
          </w:p>
        </w:tc>
      </w:tr>
    </w:tbl>
    <w:p w:rsidR="00CC6491" w:rsidRDefault="00CC6491" w:rsidP="00CC6491">
      <w:pPr>
        <w:jc w:val="left"/>
      </w:pPr>
    </w:p>
    <w:p w:rsidR="00CC6491" w:rsidRDefault="00CC6491" w:rsidP="00CC6491">
      <w:pPr>
        <w:autoSpaceDE w:val="0"/>
        <w:autoSpaceDN w:val="0"/>
        <w:adjustRightInd w:val="0"/>
        <w:spacing w:after="0" w:line="240" w:lineRule="auto"/>
      </w:pPr>
      <w:r>
        <w:br w:type="column"/>
      </w:r>
      <w:r>
        <w:lastRenderedPageBreak/>
        <w:t xml:space="preserve">Table 9: Market shares for different technologies.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2"/>
        <w:gridCol w:w="1237"/>
        <w:gridCol w:w="1276"/>
        <w:gridCol w:w="1134"/>
        <w:gridCol w:w="1275"/>
        <w:gridCol w:w="1276"/>
        <w:gridCol w:w="1276"/>
        <w:gridCol w:w="1276"/>
      </w:tblGrid>
      <w:tr w:rsidR="003E63EE" w:rsidRPr="003539B3" w:rsidTr="00B64FA7">
        <w:trPr>
          <w:trHeight w:val="1010"/>
        </w:trPr>
        <w:tc>
          <w:tcPr>
            <w:tcW w:w="572" w:type="dxa"/>
            <w:vMerge w:val="restart"/>
            <w:tcBorders>
              <w:top w:val="single" w:sz="4" w:space="0" w:color="auto"/>
              <w:left w:val="single" w:sz="4" w:space="0" w:color="auto"/>
              <w:right w:val="single" w:sz="4" w:space="0" w:color="auto"/>
            </w:tcBorders>
            <w:vAlign w:val="center"/>
          </w:tcPr>
          <w:p w:rsidR="003E63EE" w:rsidRPr="003539B3" w:rsidRDefault="003E63EE" w:rsidP="003E63EE">
            <w:pPr>
              <w:spacing w:before="120" w:after="120" w:line="240" w:lineRule="auto"/>
              <w:jc w:val="center"/>
            </w:pPr>
            <w:r w:rsidRPr="003539B3">
              <w:t>No.</w:t>
            </w:r>
          </w:p>
        </w:tc>
        <w:tc>
          <w:tcPr>
            <w:tcW w:w="1237" w:type="dxa"/>
            <w:vMerge w:val="restart"/>
            <w:tcBorders>
              <w:top w:val="single" w:sz="4" w:space="0" w:color="auto"/>
              <w:left w:val="single" w:sz="4" w:space="0" w:color="auto"/>
              <w:right w:val="single" w:sz="4" w:space="0" w:color="auto"/>
            </w:tcBorders>
            <w:vAlign w:val="center"/>
          </w:tcPr>
          <w:p w:rsidR="003E63EE" w:rsidRPr="003539B3" w:rsidRDefault="003E63EE" w:rsidP="003E63EE">
            <w:pPr>
              <w:spacing w:before="120" w:after="120" w:line="240" w:lineRule="auto"/>
              <w:jc w:val="center"/>
            </w:pPr>
            <w:r>
              <w:t>Technology</w:t>
            </w:r>
          </w:p>
        </w:tc>
        <w:tc>
          <w:tcPr>
            <w:tcW w:w="7513" w:type="dxa"/>
            <w:gridSpan w:val="6"/>
            <w:tcBorders>
              <w:top w:val="single" w:sz="4" w:space="0" w:color="auto"/>
              <w:left w:val="single" w:sz="4" w:space="0" w:color="auto"/>
              <w:right w:val="single" w:sz="4" w:space="0" w:color="auto"/>
            </w:tcBorders>
            <w:vAlign w:val="center"/>
          </w:tcPr>
          <w:p w:rsidR="003E63EE" w:rsidRPr="003539B3" w:rsidRDefault="003E63EE" w:rsidP="003E63EE">
            <w:pPr>
              <w:spacing w:before="120" w:after="120" w:line="240" w:lineRule="auto"/>
              <w:jc w:val="center"/>
            </w:pPr>
            <w:r>
              <w:t>Market share in base year and following imposition of climate change policy .under different assumptions regarding electricity market structure</w:t>
            </w:r>
          </w:p>
        </w:tc>
      </w:tr>
      <w:tr w:rsidR="003E63EE" w:rsidRPr="003539B3" w:rsidTr="00591064">
        <w:trPr>
          <w:trHeight w:val="1010"/>
        </w:trPr>
        <w:tc>
          <w:tcPr>
            <w:tcW w:w="572" w:type="dxa"/>
            <w:vMerge/>
            <w:tcBorders>
              <w:left w:val="single" w:sz="4" w:space="0" w:color="auto"/>
              <w:bottom w:val="single" w:sz="4" w:space="0" w:color="auto"/>
              <w:right w:val="single" w:sz="4" w:space="0" w:color="auto"/>
            </w:tcBorders>
          </w:tcPr>
          <w:p w:rsidR="003E63EE" w:rsidRPr="003539B3" w:rsidRDefault="003E63EE" w:rsidP="00CC6491">
            <w:pPr>
              <w:spacing w:before="120" w:after="120" w:line="240" w:lineRule="auto"/>
            </w:pPr>
          </w:p>
        </w:tc>
        <w:tc>
          <w:tcPr>
            <w:tcW w:w="1237" w:type="dxa"/>
            <w:vMerge/>
            <w:tcBorders>
              <w:left w:val="single" w:sz="4" w:space="0" w:color="auto"/>
              <w:bottom w:val="single" w:sz="4" w:space="0" w:color="auto"/>
              <w:right w:val="single" w:sz="4" w:space="0" w:color="auto"/>
            </w:tcBorders>
          </w:tcPr>
          <w:p w:rsidR="003E63EE" w:rsidRDefault="003E63EE" w:rsidP="002051E7">
            <w:pPr>
              <w:spacing w:before="120" w:after="120" w:line="240" w:lineRule="auto"/>
            </w:pPr>
          </w:p>
        </w:tc>
        <w:tc>
          <w:tcPr>
            <w:tcW w:w="1276" w:type="dxa"/>
            <w:tcBorders>
              <w:left w:val="single" w:sz="4" w:space="0" w:color="auto"/>
              <w:bottom w:val="single" w:sz="4" w:space="0" w:color="auto"/>
              <w:right w:val="single" w:sz="4" w:space="0" w:color="auto"/>
            </w:tcBorders>
            <w:vAlign w:val="center"/>
          </w:tcPr>
          <w:p w:rsidR="003E63EE" w:rsidRDefault="003E63EE" w:rsidP="002051E7">
            <w:pPr>
              <w:spacing w:before="120" w:after="120"/>
              <w:jc w:val="center"/>
            </w:pPr>
            <w:r>
              <w:t>Base year (2007)</w:t>
            </w:r>
          </w:p>
        </w:tc>
        <w:tc>
          <w:tcPr>
            <w:tcW w:w="1134" w:type="dxa"/>
            <w:tcBorders>
              <w:top w:val="single" w:sz="4" w:space="0" w:color="auto"/>
              <w:left w:val="single" w:sz="4" w:space="0" w:color="auto"/>
              <w:bottom w:val="single" w:sz="4" w:space="0" w:color="auto"/>
              <w:right w:val="single" w:sz="4" w:space="0" w:color="auto"/>
            </w:tcBorders>
            <w:vAlign w:val="center"/>
          </w:tcPr>
          <w:p w:rsidR="003E63EE" w:rsidRPr="00AA1027" w:rsidRDefault="003E63EE" w:rsidP="00CC6491">
            <w:pPr>
              <w:spacing w:before="120" w:after="120" w:line="240" w:lineRule="auto"/>
              <w:jc w:val="center"/>
              <w:rPr>
                <w:sz w:val="18"/>
                <w:szCs w:val="18"/>
              </w:rPr>
            </w:pPr>
            <w:r w:rsidRPr="00AA1027">
              <w:rPr>
                <w:sz w:val="18"/>
                <w:szCs w:val="18"/>
              </w:rPr>
              <w:t>CRESH</w:t>
            </w:r>
            <w:r>
              <w:rPr>
                <w:sz w:val="18"/>
                <w:szCs w:val="18"/>
              </w:rPr>
              <w:t xml:space="preserve"> (a)</w:t>
            </w:r>
            <w:r>
              <w:rPr>
                <w:sz w:val="18"/>
                <w:szCs w:val="18"/>
              </w:rPr>
              <w:br/>
              <w:t>with output adjustment</w:t>
            </w:r>
          </w:p>
        </w:tc>
        <w:tc>
          <w:tcPr>
            <w:tcW w:w="1275" w:type="dxa"/>
            <w:tcBorders>
              <w:left w:val="single" w:sz="4" w:space="0" w:color="auto"/>
              <w:bottom w:val="single" w:sz="4" w:space="0" w:color="auto"/>
              <w:right w:val="single" w:sz="4" w:space="0" w:color="auto"/>
            </w:tcBorders>
            <w:vAlign w:val="center"/>
          </w:tcPr>
          <w:p w:rsidR="003E63EE" w:rsidRDefault="003E63EE" w:rsidP="00CC6491">
            <w:pPr>
              <w:spacing w:before="120" w:after="120" w:line="240" w:lineRule="auto"/>
              <w:jc w:val="center"/>
            </w:pPr>
            <w:r w:rsidRPr="00AA1027">
              <w:rPr>
                <w:sz w:val="18"/>
                <w:szCs w:val="18"/>
              </w:rPr>
              <w:t>CRESH</w:t>
            </w:r>
            <w:r>
              <w:rPr>
                <w:sz w:val="18"/>
                <w:szCs w:val="18"/>
              </w:rPr>
              <w:t xml:space="preserve"> (b)</w:t>
            </w:r>
            <w:r>
              <w:rPr>
                <w:sz w:val="18"/>
                <w:szCs w:val="18"/>
              </w:rPr>
              <w:br/>
              <w:t>without output adjustment</w:t>
            </w:r>
          </w:p>
        </w:tc>
        <w:tc>
          <w:tcPr>
            <w:tcW w:w="1276" w:type="dxa"/>
            <w:tcBorders>
              <w:left w:val="single" w:sz="4" w:space="0" w:color="auto"/>
              <w:bottom w:val="single" w:sz="4" w:space="0" w:color="auto"/>
              <w:right w:val="single" w:sz="4" w:space="0" w:color="auto"/>
            </w:tcBorders>
            <w:vAlign w:val="center"/>
          </w:tcPr>
          <w:p w:rsidR="003E63EE" w:rsidRPr="00BC3DED" w:rsidRDefault="003E63EE" w:rsidP="00CC6491">
            <w:pPr>
              <w:spacing w:before="120" w:after="120" w:line="240" w:lineRule="auto"/>
              <w:jc w:val="center"/>
              <w:rPr>
                <w:sz w:val="18"/>
                <w:szCs w:val="18"/>
              </w:rPr>
            </w:pPr>
            <w:r w:rsidRPr="00BC3DED">
              <w:rPr>
                <w:sz w:val="18"/>
                <w:szCs w:val="18"/>
              </w:rPr>
              <w:t>IC (1)</w:t>
            </w:r>
            <w:r w:rsidRPr="00BC3DED">
              <w:rPr>
                <w:sz w:val="18"/>
                <w:szCs w:val="18"/>
              </w:rPr>
              <w:br/>
            </w:r>
            <w:proofErr w:type="spellStart"/>
            <w:r w:rsidRPr="00BC3DED">
              <w:rPr>
                <w:sz w:val="18"/>
                <w:szCs w:val="18"/>
              </w:rPr>
              <w:t>ElyCoa</w:t>
            </w:r>
            <w:proofErr w:type="spellEnd"/>
            <w:r w:rsidRPr="00BC3DED">
              <w:rPr>
                <w:sz w:val="18"/>
                <w:szCs w:val="18"/>
              </w:rPr>
              <w:br/>
              <w:t>as IC</w:t>
            </w:r>
          </w:p>
        </w:tc>
        <w:tc>
          <w:tcPr>
            <w:tcW w:w="1276" w:type="dxa"/>
            <w:tcBorders>
              <w:left w:val="single" w:sz="4" w:space="0" w:color="auto"/>
              <w:bottom w:val="single" w:sz="4" w:space="0" w:color="auto"/>
              <w:right w:val="single" w:sz="4" w:space="0" w:color="auto"/>
            </w:tcBorders>
            <w:vAlign w:val="center"/>
          </w:tcPr>
          <w:p w:rsidR="003E63EE" w:rsidRPr="00BC3DED" w:rsidRDefault="003E63EE" w:rsidP="00CC6491">
            <w:pPr>
              <w:spacing w:before="120" w:after="120" w:line="240" w:lineRule="auto"/>
              <w:jc w:val="center"/>
              <w:rPr>
                <w:sz w:val="18"/>
                <w:szCs w:val="18"/>
              </w:rPr>
            </w:pPr>
            <w:r w:rsidRPr="00BC3DED">
              <w:rPr>
                <w:sz w:val="18"/>
                <w:szCs w:val="18"/>
              </w:rPr>
              <w:t>IC (2)</w:t>
            </w:r>
            <w:r w:rsidRPr="00BC3DED">
              <w:rPr>
                <w:sz w:val="18"/>
                <w:szCs w:val="18"/>
              </w:rPr>
              <w:br/>
            </w:r>
            <w:proofErr w:type="spellStart"/>
            <w:r w:rsidRPr="00BC3DED">
              <w:rPr>
                <w:sz w:val="18"/>
                <w:szCs w:val="18"/>
              </w:rPr>
              <w:t>ElyCoa</w:t>
            </w:r>
            <w:proofErr w:type="spellEnd"/>
            <w:r w:rsidRPr="00BC3DED">
              <w:rPr>
                <w:sz w:val="18"/>
                <w:szCs w:val="18"/>
              </w:rPr>
              <w:t xml:space="preserve">, </w:t>
            </w:r>
            <w:proofErr w:type="spellStart"/>
            <w:r w:rsidRPr="00BC3DED">
              <w:rPr>
                <w:sz w:val="18"/>
                <w:szCs w:val="18"/>
              </w:rPr>
              <w:t>ElyLWR</w:t>
            </w:r>
            <w:proofErr w:type="spellEnd"/>
            <w:r w:rsidRPr="00BC3DED">
              <w:rPr>
                <w:sz w:val="18"/>
                <w:szCs w:val="18"/>
              </w:rPr>
              <w:br/>
              <w:t>as ICs</w:t>
            </w:r>
          </w:p>
        </w:tc>
        <w:tc>
          <w:tcPr>
            <w:tcW w:w="1276" w:type="dxa"/>
            <w:tcBorders>
              <w:left w:val="single" w:sz="4" w:space="0" w:color="auto"/>
              <w:bottom w:val="single" w:sz="4" w:space="0" w:color="auto"/>
              <w:right w:val="single" w:sz="4" w:space="0" w:color="auto"/>
            </w:tcBorders>
            <w:vAlign w:val="center"/>
          </w:tcPr>
          <w:p w:rsidR="003E63EE" w:rsidRPr="00BC3DED" w:rsidRDefault="003E63EE" w:rsidP="00CC6491">
            <w:pPr>
              <w:spacing w:before="120" w:after="120" w:line="240" w:lineRule="auto"/>
              <w:jc w:val="center"/>
              <w:rPr>
                <w:sz w:val="18"/>
                <w:szCs w:val="18"/>
              </w:rPr>
            </w:pPr>
            <w:r w:rsidRPr="00BC3DED">
              <w:rPr>
                <w:sz w:val="18"/>
                <w:szCs w:val="18"/>
              </w:rPr>
              <w:t>IC (3)</w:t>
            </w:r>
            <w:r w:rsidRPr="00BC3DED">
              <w:rPr>
                <w:sz w:val="18"/>
                <w:szCs w:val="18"/>
              </w:rPr>
              <w:br/>
            </w:r>
            <w:proofErr w:type="spellStart"/>
            <w:r w:rsidRPr="00BC3DED">
              <w:rPr>
                <w:sz w:val="18"/>
                <w:szCs w:val="18"/>
              </w:rPr>
              <w:t>ElyCoa</w:t>
            </w:r>
            <w:proofErr w:type="spellEnd"/>
            <w:r w:rsidRPr="00BC3DED">
              <w:rPr>
                <w:sz w:val="18"/>
                <w:szCs w:val="18"/>
              </w:rPr>
              <w:t xml:space="preserve">, </w:t>
            </w:r>
            <w:proofErr w:type="spellStart"/>
            <w:r w:rsidRPr="00BC3DED">
              <w:rPr>
                <w:sz w:val="18"/>
                <w:szCs w:val="18"/>
              </w:rPr>
              <w:t>ElyLWR</w:t>
            </w:r>
            <w:proofErr w:type="spellEnd"/>
            <w:r w:rsidRPr="00BC3DED">
              <w:rPr>
                <w:sz w:val="18"/>
                <w:szCs w:val="18"/>
              </w:rPr>
              <w:t xml:space="preserve"> </w:t>
            </w:r>
            <w:proofErr w:type="spellStart"/>
            <w:r w:rsidRPr="00BC3DED">
              <w:rPr>
                <w:sz w:val="18"/>
                <w:szCs w:val="18"/>
              </w:rPr>
              <w:t>ElyHyd</w:t>
            </w:r>
            <w:proofErr w:type="spellEnd"/>
            <w:r w:rsidRPr="00BC3DED">
              <w:rPr>
                <w:sz w:val="18"/>
                <w:szCs w:val="18"/>
              </w:rPr>
              <w:br/>
              <w:t>as ICs</w:t>
            </w:r>
          </w:p>
        </w:tc>
      </w:tr>
      <w:tr w:rsidR="008120C8" w:rsidRPr="003539B3" w:rsidTr="008022C1">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1</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ElyCoa</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0.285</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0.147</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0.082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0.053</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0.186</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0.220</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2</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ElyOil</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0.115</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0.196</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0.111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0.181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0.156</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0.146</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3</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ElyGas</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0.257</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-0.046</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0.031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0.405</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0.348</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0.327</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4</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ElyLWR</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0.248</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0.564</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0.248</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0.272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0.162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0.191</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5</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ElyHyd</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0.064</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0.141</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0.062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0.084</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0.076</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0.049</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6</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ElyWON</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0.005</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0.004</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0.004</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7</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ElySol</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0.004</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8</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ElyBio</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0.016</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0.033</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0.015</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0.028</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0.023</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0.021</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9</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ElyWas</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0.006</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0.012</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0.005</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0.010</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0.009</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0.008</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10</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ElyOth</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0.006</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0.005</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0.004</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0.004</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11</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CoaCCS</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12</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OilCCS</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0.003</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Pr="003539B3" w:rsidRDefault="008120C8" w:rsidP="00CC6491">
            <w:pPr>
              <w:spacing w:after="0" w:line="240" w:lineRule="auto"/>
            </w:pPr>
            <w:r>
              <w:t>13</w:t>
            </w: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proofErr w:type="spellStart"/>
            <w:r>
              <w:rPr>
                <w:rFonts w:ascii="Calibri" w:hAnsi="Calibri"/>
                <w:color w:val="000000"/>
                <w:sz w:val="22"/>
                <w:szCs w:val="22"/>
              </w:rPr>
              <w:t>GasCCS</w:t>
            </w:r>
            <w:proofErr w:type="spellEnd"/>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0.000</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0.000</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0.001</w:t>
            </w:r>
          </w:p>
        </w:tc>
      </w:tr>
      <w:tr w:rsidR="008120C8" w:rsidRPr="003539B3" w:rsidTr="003E63EE">
        <w:tc>
          <w:tcPr>
            <w:tcW w:w="572" w:type="dxa"/>
            <w:tcBorders>
              <w:top w:val="single" w:sz="4" w:space="0" w:color="auto"/>
              <w:left w:val="single" w:sz="4" w:space="0" w:color="auto"/>
              <w:bottom w:val="single" w:sz="4" w:space="0" w:color="auto"/>
              <w:right w:val="single" w:sz="4" w:space="0" w:color="auto"/>
            </w:tcBorders>
          </w:tcPr>
          <w:p w:rsidR="008120C8" w:rsidRDefault="008120C8" w:rsidP="00CC6491">
            <w:pPr>
              <w:spacing w:after="0" w:line="240" w:lineRule="auto"/>
            </w:pPr>
          </w:p>
        </w:tc>
        <w:tc>
          <w:tcPr>
            <w:tcW w:w="1237" w:type="dxa"/>
            <w:tcBorders>
              <w:top w:val="single" w:sz="4" w:space="0" w:color="auto"/>
              <w:left w:val="single" w:sz="4" w:space="0" w:color="auto"/>
              <w:bottom w:val="single" w:sz="4" w:space="0" w:color="auto"/>
              <w:right w:val="single" w:sz="4" w:space="0" w:color="auto"/>
            </w:tcBorders>
            <w:vAlign w:val="bottom"/>
          </w:tcPr>
          <w:p w:rsidR="008120C8" w:rsidRDefault="008120C8" w:rsidP="002051E7">
            <w:pPr>
              <w:spacing w:after="0" w:line="240" w:lineRule="auto"/>
              <w:rPr>
                <w:rFonts w:ascii="Calibri" w:hAnsi="Calibri"/>
                <w:color w:val="000000"/>
                <w:sz w:val="22"/>
                <w:szCs w:val="22"/>
              </w:rPr>
            </w:pPr>
            <w:r>
              <w:rPr>
                <w:rFonts w:ascii="Calibri" w:hAnsi="Calibri"/>
                <w:color w:val="000000"/>
                <w:sz w:val="22"/>
                <w:szCs w:val="22"/>
              </w:rPr>
              <w:t>total</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1.000</w:t>
            </w:r>
          </w:p>
        </w:tc>
        <w:tc>
          <w:tcPr>
            <w:tcW w:w="1134"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1.065</w:t>
            </w:r>
          </w:p>
        </w:tc>
        <w:tc>
          <w:tcPr>
            <w:tcW w:w="1275"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0.562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1.052</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0.974</w:t>
            </w:r>
          </w:p>
        </w:tc>
        <w:tc>
          <w:tcPr>
            <w:tcW w:w="1276" w:type="dxa"/>
            <w:tcBorders>
              <w:top w:val="single" w:sz="4" w:space="0" w:color="auto"/>
              <w:left w:val="single" w:sz="4" w:space="0" w:color="auto"/>
              <w:bottom w:val="single" w:sz="4" w:space="0" w:color="auto"/>
              <w:right w:val="single" w:sz="4" w:space="0" w:color="auto"/>
            </w:tcBorders>
            <w:vAlign w:val="bottom"/>
          </w:tcPr>
          <w:p w:rsidR="008120C8" w:rsidRDefault="008120C8" w:rsidP="008120C8">
            <w:pPr>
              <w:spacing w:after="0" w:line="240" w:lineRule="auto"/>
              <w:jc w:val="right"/>
              <w:rPr>
                <w:rFonts w:ascii="Calibri" w:hAnsi="Calibri"/>
                <w:color w:val="000000"/>
                <w:sz w:val="22"/>
                <w:szCs w:val="22"/>
              </w:rPr>
            </w:pPr>
            <w:r>
              <w:rPr>
                <w:rFonts w:ascii="Calibri" w:hAnsi="Calibri"/>
                <w:color w:val="000000"/>
                <w:sz w:val="22"/>
                <w:szCs w:val="22"/>
              </w:rPr>
              <w:t>0.976</w:t>
            </w:r>
          </w:p>
        </w:tc>
      </w:tr>
    </w:tbl>
    <w:p w:rsidR="00CC6491" w:rsidRDefault="003E63EE" w:rsidP="00CC6491">
      <w:pPr>
        <w:jc w:val="left"/>
      </w:pPr>
      <w:r>
        <w:t xml:space="preserve">Note: under CRESH (b) sum of shares does not equal 1, </w:t>
      </w:r>
      <w:proofErr w:type="gramStart"/>
      <w:r>
        <w:t>in  other</w:t>
      </w:r>
      <w:proofErr w:type="gramEnd"/>
      <w:r>
        <w:t xml:space="preserve"> cases, the sums are not equal exactly to 1 due to rounding errors. </w:t>
      </w:r>
    </w:p>
    <w:p w:rsidR="003E63EE" w:rsidRDefault="003E63EE" w:rsidP="00917E3C">
      <w:pPr>
        <w:tabs>
          <w:tab w:val="left" w:pos="5168"/>
        </w:tabs>
        <w:ind w:left="851" w:hanging="851"/>
        <w:jc w:val="center"/>
      </w:pPr>
      <w:r>
        <w:br w:type="column"/>
      </w:r>
      <w:r>
        <w:rPr>
          <w:noProof/>
        </w:rPr>
        <w:lastRenderedPageBreak/>
        <w:drawing>
          <wp:inline distT="0" distB="0" distL="0" distR="0">
            <wp:extent cx="5312970" cy="2076827"/>
            <wp:effectExtent l="19050" t="0" r="1980" b="0"/>
            <wp:docPr id="1331"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95" cstate="print"/>
                    <a:srcRect/>
                    <a:stretch>
                      <a:fillRect/>
                    </a:stretch>
                  </pic:blipFill>
                  <pic:spPr bwMode="auto">
                    <a:xfrm>
                      <a:off x="0" y="0"/>
                      <a:ext cx="5322278" cy="2080466"/>
                    </a:xfrm>
                    <a:prstGeom prst="rect">
                      <a:avLst/>
                    </a:prstGeom>
                    <a:noFill/>
                  </pic:spPr>
                </pic:pic>
              </a:graphicData>
            </a:graphic>
          </wp:inline>
        </w:drawing>
      </w:r>
    </w:p>
    <w:p w:rsidR="003E63EE" w:rsidRDefault="003E63EE" w:rsidP="003E63EE">
      <w:pPr>
        <w:tabs>
          <w:tab w:val="left" w:pos="5168"/>
        </w:tabs>
        <w:ind w:left="851" w:hanging="851"/>
        <w:jc w:val="center"/>
      </w:pPr>
      <w:r>
        <w:t xml:space="preserve">Figure </w:t>
      </w:r>
      <w:proofErr w:type="gramStart"/>
      <w:r>
        <w:t>3a  technology</w:t>
      </w:r>
      <w:proofErr w:type="gramEnd"/>
      <w:r>
        <w:t xml:space="preserve"> shares for all technologies</w:t>
      </w:r>
    </w:p>
    <w:p w:rsidR="003E63EE" w:rsidRDefault="003E63EE" w:rsidP="00917E3C">
      <w:pPr>
        <w:tabs>
          <w:tab w:val="left" w:pos="5168"/>
        </w:tabs>
        <w:ind w:left="851" w:hanging="851"/>
        <w:jc w:val="center"/>
      </w:pPr>
    </w:p>
    <w:p w:rsidR="003E63EE" w:rsidRDefault="003E63EE" w:rsidP="00917E3C">
      <w:pPr>
        <w:tabs>
          <w:tab w:val="left" w:pos="5168"/>
        </w:tabs>
        <w:ind w:left="851" w:hanging="851"/>
        <w:jc w:val="center"/>
      </w:pPr>
    </w:p>
    <w:p w:rsidR="003E63EE" w:rsidRDefault="003E63EE" w:rsidP="00917E3C">
      <w:pPr>
        <w:tabs>
          <w:tab w:val="left" w:pos="5168"/>
        </w:tabs>
        <w:ind w:left="851" w:hanging="851"/>
        <w:jc w:val="center"/>
      </w:pPr>
      <w:r>
        <w:rPr>
          <w:noProof/>
        </w:rPr>
        <w:drawing>
          <wp:inline distT="0" distB="0" distL="0" distR="0">
            <wp:extent cx="5407974" cy="2764284"/>
            <wp:effectExtent l="19050" t="0" r="2226" b="0"/>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96" cstate="print"/>
                    <a:srcRect/>
                    <a:stretch>
                      <a:fillRect/>
                    </a:stretch>
                  </pic:blipFill>
                  <pic:spPr bwMode="auto">
                    <a:xfrm>
                      <a:off x="0" y="0"/>
                      <a:ext cx="5415176" cy="2767965"/>
                    </a:xfrm>
                    <a:prstGeom prst="rect">
                      <a:avLst/>
                    </a:prstGeom>
                    <a:noFill/>
                  </pic:spPr>
                </pic:pic>
              </a:graphicData>
            </a:graphic>
          </wp:inline>
        </w:drawing>
      </w:r>
    </w:p>
    <w:p w:rsidR="003E63EE" w:rsidRDefault="003E63EE" w:rsidP="00917E3C">
      <w:pPr>
        <w:tabs>
          <w:tab w:val="left" w:pos="5168"/>
        </w:tabs>
        <w:ind w:left="851" w:hanging="851"/>
        <w:jc w:val="center"/>
      </w:pPr>
      <w:r>
        <w:t>Figure 3b: technology share for non-hydro renewable technologies only</w:t>
      </w:r>
    </w:p>
    <w:p w:rsidR="00917E3C" w:rsidRDefault="00E624A8" w:rsidP="00917E3C">
      <w:pPr>
        <w:tabs>
          <w:tab w:val="left" w:pos="5168"/>
        </w:tabs>
        <w:ind w:left="851" w:hanging="851"/>
        <w:jc w:val="center"/>
      </w:pPr>
      <w:r>
        <w:br w:type="column"/>
      </w:r>
      <w:r w:rsidR="00917E3C">
        <w:rPr>
          <w:b/>
          <w:bCs/>
        </w:rPr>
        <w:lastRenderedPageBreak/>
        <w:t>Appendix</w:t>
      </w:r>
    </w:p>
    <w:p w:rsidR="00E624A8" w:rsidRDefault="00E624A8" w:rsidP="00E624A8">
      <w:pPr>
        <w:tabs>
          <w:tab w:val="left" w:pos="5168"/>
        </w:tabs>
        <w:ind w:left="851" w:hanging="851"/>
        <w:jc w:val="left"/>
      </w:pPr>
      <w:r>
        <w:t xml:space="preserve">Table A1: Details on regional aggregation.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992"/>
        <w:gridCol w:w="7760"/>
      </w:tblGrid>
      <w:tr w:rsidR="00E624A8" w:rsidRPr="003539B3" w:rsidTr="00C90653">
        <w:tc>
          <w:tcPr>
            <w:tcW w:w="570" w:type="dxa"/>
            <w:tcBorders>
              <w:top w:val="single" w:sz="4" w:space="0" w:color="auto"/>
              <w:left w:val="single" w:sz="4" w:space="0" w:color="auto"/>
              <w:bottom w:val="single" w:sz="4" w:space="0" w:color="auto"/>
              <w:right w:val="single" w:sz="4" w:space="0" w:color="auto"/>
            </w:tcBorders>
          </w:tcPr>
          <w:p w:rsidR="00E624A8" w:rsidRPr="003539B3" w:rsidRDefault="00E624A8" w:rsidP="00C90653">
            <w:pPr>
              <w:spacing w:before="120" w:after="120" w:line="240" w:lineRule="auto"/>
            </w:pPr>
            <w:r w:rsidRPr="003539B3">
              <w:t>No.</w:t>
            </w:r>
          </w:p>
        </w:tc>
        <w:tc>
          <w:tcPr>
            <w:tcW w:w="992" w:type="dxa"/>
            <w:tcBorders>
              <w:top w:val="single" w:sz="4" w:space="0" w:color="auto"/>
              <w:left w:val="single" w:sz="4" w:space="0" w:color="auto"/>
              <w:bottom w:val="single" w:sz="4" w:space="0" w:color="auto"/>
              <w:right w:val="single" w:sz="4" w:space="0" w:color="auto"/>
            </w:tcBorders>
          </w:tcPr>
          <w:p w:rsidR="00E624A8" w:rsidRPr="003539B3" w:rsidRDefault="00E624A8" w:rsidP="00C90653">
            <w:pPr>
              <w:spacing w:before="120" w:after="120" w:line="240" w:lineRule="auto"/>
            </w:pPr>
            <w:r w:rsidRPr="003539B3">
              <w:t>Region</w:t>
            </w:r>
          </w:p>
        </w:tc>
        <w:tc>
          <w:tcPr>
            <w:tcW w:w="7760" w:type="dxa"/>
            <w:tcBorders>
              <w:top w:val="single" w:sz="4" w:space="0" w:color="auto"/>
              <w:left w:val="single" w:sz="4" w:space="0" w:color="auto"/>
              <w:bottom w:val="single" w:sz="4" w:space="0" w:color="auto"/>
              <w:right w:val="single" w:sz="4" w:space="0" w:color="auto"/>
            </w:tcBorders>
          </w:tcPr>
          <w:p w:rsidR="00E624A8" w:rsidRPr="003539B3" w:rsidRDefault="00E624A8" w:rsidP="00C90653">
            <w:pPr>
              <w:spacing w:before="120" w:after="120" w:line="240" w:lineRule="auto"/>
            </w:pPr>
            <w:r w:rsidRPr="003539B3">
              <w:t>Description</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CHN</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China &amp; Hong Kong</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2</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IND</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w:t>
            </w:r>
            <w:proofErr w:type="spellStart"/>
            <w:r>
              <w:rPr>
                <w:rFonts w:ascii="Calibri" w:hAnsi="Calibri"/>
                <w:color w:val="000000"/>
                <w:sz w:val="22"/>
                <w:szCs w:val="22"/>
              </w:rPr>
              <w:t>india</w:t>
            </w:r>
            <w:proofErr w:type="spellEnd"/>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3</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JPN</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Japan</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4</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KOR</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Korea</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5</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ASIA</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other Asian countries</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6</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USA</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United States</w:t>
            </w:r>
          </w:p>
        </w:tc>
      </w:tr>
      <w:tr w:rsidR="00941B70" w:rsidRPr="002F1961" w:rsidTr="00C90653">
        <w:tc>
          <w:tcPr>
            <w:tcW w:w="570" w:type="dxa"/>
            <w:tcBorders>
              <w:top w:val="single" w:sz="4" w:space="0" w:color="auto"/>
              <w:left w:val="single" w:sz="4" w:space="0" w:color="auto"/>
              <w:bottom w:val="single" w:sz="4" w:space="0" w:color="auto"/>
              <w:right w:val="single" w:sz="4" w:space="0" w:color="auto"/>
            </w:tcBorders>
          </w:tcPr>
          <w:p w:rsidR="00941B70" w:rsidRPr="002F1961" w:rsidRDefault="00941B70" w:rsidP="00C90653">
            <w:pPr>
              <w:spacing w:after="0" w:line="240" w:lineRule="auto"/>
            </w:pPr>
            <w:r w:rsidRPr="002F1961">
              <w:t>7</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CAN</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Canada</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2F1961" w:rsidRDefault="00941B70" w:rsidP="00C90653">
            <w:pPr>
              <w:spacing w:after="0" w:line="240" w:lineRule="auto"/>
            </w:pPr>
            <w:r w:rsidRPr="002F1961">
              <w:t>8</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AUS</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Australia</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t>9</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EU12</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EU15 minus France, Germany, UK</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t>10</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DEU</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Germany</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r>
              <w:t>1</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FRA</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France</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t>12</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GBR</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UK</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r>
              <w:t>3</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RUS</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Russian Federation (Exclude Ukraine)</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r>
              <w:t>4</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CEU</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Central &amp; Eastern Europe </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r>
              <w:t>5</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RoA1</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Other Annex 1 regions</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r>
              <w:t>6</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LSA</w:t>
            </w:r>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Mexico &amp; Latin America</w:t>
            </w:r>
          </w:p>
        </w:tc>
      </w:tr>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after="0" w:line="240" w:lineRule="auto"/>
            </w:pPr>
            <w:r w:rsidRPr="003539B3">
              <w:t>1</w:t>
            </w:r>
            <w:r>
              <w:t>7</w:t>
            </w:r>
          </w:p>
        </w:tc>
        <w:tc>
          <w:tcPr>
            <w:tcW w:w="992" w:type="dxa"/>
            <w:tcBorders>
              <w:top w:val="single" w:sz="4" w:space="0" w:color="auto"/>
              <w:left w:val="single" w:sz="4" w:space="0" w:color="auto"/>
              <w:bottom w:val="single" w:sz="4" w:space="0" w:color="auto"/>
              <w:right w:val="single" w:sz="4" w:space="0" w:color="auto"/>
            </w:tcBorders>
            <w:vAlign w:val="bottom"/>
          </w:tcPr>
          <w:p w:rsidR="00941B70" w:rsidRDefault="00941B70" w:rsidP="00941B70">
            <w:pPr>
              <w:spacing w:after="0" w:line="240" w:lineRule="auto"/>
              <w:rPr>
                <w:rFonts w:ascii="Calibri" w:hAnsi="Calibri"/>
                <w:color w:val="000000"/>
                <w:sz w:val="22"/>
                <w:szCs w:val="22"/>
              </w:rPr>
            </w:pPr>
            <w:proofErr w:type="spellStart"/>
            <w:r>
              <w:rPr>
                <w:rFonts w:ascii="Calibri" w:hAnsi="Calibri"/>
                <w:color w:val="000000"/>
                <w:sz w:val="22"/>
                <w:szCs w:val="22"/>
              </w:rPr>
              <w:t>RoW</w:t>
            </w:r>
            <w:proofErr w:type="spellEnd"/>
          </w:p>
        </w:tc>
        <w:tc>
          <w:tcPr>
            <w:tcW w:w="7760" w:type="dxa"/>
            <w:tcBorders>
              <w:top w:val="single" w:sz="4" w:space="0" w:color="auto"/>
              <w:left w:val="single" w:sz="4" w:space="0" w:color="auto"/>
              <w:bottom w:val="single" w:sz="4" w:space="0" w:color="auto"/>
              <w:right w:val="single" w:sz="4" w:space="0" w:color="auto"/>
            </w:tcBorders>
          </w:tcPr>
          <w:p w:rsidR="00941B70" w:rsidRDefault="00941B70" w:rsidP="00941B70">
            <w:pPr>
              <w:spacing w:after="0" w:line="240" w:lineRule="auto"/>
              <w:rPr>
                <w:rFonts w:ascii="Calibri" w:hAnsi="Calibri"/>
                <w:color w:val="000000"/>
                <w:sz w:val="22"/>
                <w:szCs w:val="22"/>
              </w:rPr>
            </w:pPr>
            <w:r>
              <w:rPr>
                <w:rFonts w:ascii="Calibri" w:hAnsi="Calibri"/>
                <w:color w:val="000000"/>
                <w:sz w:val="22"/>
                <w:szCs w:val="22"/>
              </w:rPr>
              <w:t xml:space="preserve"> Rest of the World</w:t>
            </w:r>
          </w:p>
        </w:tc>
      </w:tr>
    </w:tbl>
    <w:p w:rsidR="00D86D6B" w:rsidRDefault="00D86D6B" w:rsidP="009C1DE5">
      <w:pPr>
        <w:jc w:val="left"/>
      </w:pPr>
    </w:p>
    <w:p w:rsidR="00941B70" w:rsidRPr="003539B3" w:rsidRDefault="00941B70" w:rsidP="00941B70">
      <w:pPr>
        <w:tabs>
          <w:tab w:val="left" w:pos="5168"/>
        </w:tabs>
        <w:ind w:left="851" w:hanging="851"/>
        <w:jc w:val="left"/>
      </w:pPr>
      <w:r>
        <w:br w:type="column"/>
      </w:r>
      <w:r w:rsidRPr="003539B3">
        <w:lastRenderedPageBreak/>
        <w:t>Table</w:t>
      </w:r>
      <w:r>
        <w:t xml:space="preserve"> A2</w:t>
      </w:r>
      <w:r w:rsidRPr="003539B3">
        <w:t xml:space="preserve">: </w:t>
      </w:r>
      <w:r>
        <w:t xml:space="preserve">Details on </w:t>
      </w:r>
      <w:proofErr w:type="spellStart"/>
      <w:r>
        <w:t>s</w:t>
      </w:r>
      <w:r w:rsidRPr="003539B3">
        <w:t>ectoral</w:t>
      </w:r>
      <w:proofErr w:type="spellEnd"/>
      <w:r w:rsidRPr="003539B3">
        <w:t xml:space="preserve"> </w:t>
      </w:r>
      <w:r>
        <w:t>a</w:t>
      </w:r>
      <w:r w:rsidRPr="003539B3">
        <w:t>ggregation.</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0"/>
        <w:gridCol w:w="1003"/>
        <w:gridCol w:w="7749"/>
      </w:tblGrid>
      <w:tr w:rsidR="00941B70" w:rsidRPr="003539B3" w:rsidTr="00C90653">
        <w:tc>
          <w:tcPr>
            <w:tcW w:w="570"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before="120" w:after="120" w:line="240" w:lineRule="auto"/>
            </w:pPr>
            <w:r w:rsidRPr="003539B3">
              <w:t>No.</w:t>
            </w:r>
          </w:p>
        </w:tc>
        <w:tc>
          <w:tcPr>
            <w:tcW w:w="1003"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before="120" w:after="120" w:line="240" w:lineRule="auto"/>
            </w:pPr>
            <w:r w:rsidRPr="003539B3">
              <w:t>Sector</w:t>
            </w:r>
          </w:p>
        </w:tc>
        <w:tc>
          <w:tcPr>
            <w:tcW w:w="7749" w:type="dxa"/>
            <w:tcBorders>
              <w:top w:val="single" w:sz="4" w:space="0" w:color="auto"/>
              <w:left w:val="single" w:sz="4" w:space="0" w:color="auto"/>
              <w:bottom w:val="single" w:sz="4" w:space="0" w:color="auto"/>
              <w:right w:val="single" w:sz="4" w:space="0" w:color="auto"/>
            </w:tcBorders>
          </w:tcPr>
          <w:p w:rsidR="00941B70" w:rsidRPr="003539B3" w:rsidRDefault="00941B70" w:rsidP="00C90653">
            <w:pPr>
              <w:spacing w:before="120" w:after="120" w:line="240" w:lineRule="auto"/>
            </w:pPr>
            <w:r w:rsidRPr="003539B3">
              <w:t>Description</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1</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agr</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Agriculture forestry and fishing</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2</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coa</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Coal mining</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3</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oil</w:t>
            </w:r>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Crude oil</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4</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gas</w:t>
            </w:r>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Natural gas extraction + Gas distribution</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5</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p_c</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Refined oil products</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6</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ely</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Electricity</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7</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i_s</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Iron and Steel</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8</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nfm</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Non-ferrous metal</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9</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min</w:t>
            </w:r>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 xml:space="preserve">Minerals </w:t>
            </w:r>
            <w:proofErr w:type="spellStart"/>
            <w:r>
              <w:rPr>
                <w:rFonts w:ascii="Calibri" w:hAnsi="Calibri"/>
                <w:color w:val="000000"/>
                <w:sz w:val="22"/>
                <w:szCs w:val="22"/>
              </w:rPr>
              <w:t>nec</w:t>
            </w:r>
            <w:proofErr w:type="spellEnd"/>
            <w:r>
              <w:rPr>
                <w:rFonts w:ascii="Calibri" w:hAnsi="Calibri"/>
                <w:color w:val="000000"/>
                <w:sz w:val="22"/>
                <w:szCs w:val="22"/>
              </w:rPr>
              <w:t xml:space="preserve"> + mineral products </w:t>
            </w:r>
            <w:proofErr w:type="spellStart"/>
            <w:r>
              <w:rPr>
                <w:rFonts w:ascii="Calibri" w:hAnsi="Calibri"/>
                <w:color w:val="000000"/>
                <w:sz w:val="22"/>
                <w:szCs w:val="22"/>
              </w:rPr>
              <w:t>nec</w:t>
            </w:r>
            <w:proofErr w:type="spellEnd"/>
            <w:r>
              <w:rPr>
                <w:rFonts w:ascii="Calibri" w:hAnsi="Calibri"/>
                <w:color w:val="000000"/>
                <w:sz w:val="22"/>
                <w:szCs w:val="22"/>
              </w:rPr>
              <w:t>:  supposed to include uranium mining</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10</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crp</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Chemical, rubber, plastic products</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11</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omf</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 xml:space="preserve">Manufactures </w:t>
            </w:r>
            <w:proofErr w:type="spellStart"/>
            <w:r>
              <w:rPr>
                <w:rFonts w:ascii="Calibri" w:hAnsi="Calibri"/>
                <w:color w:val="000000"/>
                <w:sz w:val="22"/>
                <w:szCs w:val="22"/>
              </w:rPr>
              <w:t>nec</w:t>
            </w:r>
            <w:proofErr w:type="spellEnd"/>
            <w:r>
              <w:rPr>
                <w:rFonts w:ascii="Calibri" w:hAnsi="Calibri"/>
                <w:color w:val="000000"/>
                <w:sz w:val="22"/>
                <w:szCs w:val="22"/>
              </w:rPr>
              <w:t xml:space="preserve"> and all other manufactures</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12</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proofErr w:type="spellStart"/>
            <w:r>
              <w:rPr>
                <w:rFonts w:ascii="Calibri" w:hAnsi="Calibri"/>
                <w:color w:val="000000"/>
                <w:sz w:val="22"/>
                <w:szCs w:val="22"/>
              </w:rPr>
              <w:t>trp</w:t>
            </w:r>
            <w:proofErr w:type="spellEnd"/>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Transportation</w:t>
            </w:r>
          </w:p>
        </w:tc>
      </w:tr>
      <w:tr w:rsidR="007D5927" w:rsidRPr="003539B3" w:rsidTr="00C90653">
        <w:tc>
          <w:tcPr>
            <w:tcW w:w="570" w:type="dxa"/>
            <w:tcBorders>
              <w:top w:val="single" w:sz="4" w:space="0" w:color="auto"/>
              <w:left w:val="single" w:sz="4" w:space="0" w:color="auto"/>
              <w:bottom w:val="single" w:sz="4" w:space="0" w:color="auto"/>
              <w:right w:val="single" w:sz="4" w:space="0" w:color="auto"/>
            </w:tcBorders>
          </w:tcPr>
          <w:p w:rsidR="007D5927" w:rsidRPr="003539B3" w:rsidRDefault="007D5927" w:rsidP="007D5927">
            <w:pPr>
              <w:spacing w:after="0" w:line="240" w:lineRule="auto"/>
            </w:pPr>
            <w:r w:rsidRPr="003539B3">
              <w:t>13</w:t>
            </w:r>
          </w:p>
        </w:tc>
        <w:tc>
          <w:tcPr>
            <w:tcW w:w="1003" w:type="dxa"/>
            <w:tcBorders>
              <w:top w:val="single" w:sz="4" w:space="0" w:color="auto"/>
              <w:left w:val="single" w:sz="4" w:space="0" w:color="auto"/>
              <w:bottom w:val="single" w:sz="4" w:space="0" w:color="auto"/>
              <w:right w:val="single" w:sz="4" w:space="0" w:color="auto"/>
            </w:tcBorders>
            <w:vAlign w:val="bottom"/>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ser</w:t>
            </w:r>
          </w:p>
        </w:tc>
        <w:tc>
          <w:tcPr>
            <w:tcW w:w="7749" w:type="dxa"/>
            <w:tcBorders>
              <w:top w:val="single" w:sz="4" w:space="0" w:color="auto"/>
              <w:left w:val="single" w:sz="4" w:space="0" w:color="auto"/>
              <w:bottom w:val="single" w:sz="4" w:space="0" w:color="auto"/>
              <w:right w:val="single" w:sz="4" w:space="0" w:color="auto"/>
            </w:tcBorders>
          </w:tcPr>
          <w:p w:rsidR="007D5927" w:rsidRDefault="007D5927" w:rsidP="007D5927">
            <w:pPr>
              <w:spacing w:after="0" w:line="240" w:lineRule="auto"/>
              <w:rPr>
                <w:rFonts w:ascii="Calibri" w:hAnsi="Calibri"/>
                <w:color w:val="000000"/>
                <w:sz w:val="22"/>
                <w:szCs w:val="22"/>
              </w:rPr>
            </w:pPr>
            <w:r>
              <w:rPr>
                <w:rFonts w:ascii="Calibri" w:hAnsi="Calibri"/>
                <w:color w:val="000000"/>
                <w:sz w:val="22"/>
                <w:szCs w:val="22"/>
              </w:rPr>
              <w:t>Services</w:t>
            </w:r>
          </w:p>
        </w:tc>
      </w:tr>
    </w:tbl>
    <w:p w:rsidR="00917E3C" w:rsidRDefault="00917E3C" w:rsidP="009C1DE5">
      <w:pPr>
        <w:jc w:val="left"/>
      </w:pPr>
    </w:p>
    <w:p w:rsidR="00713B48" w:rsidRPr="00E95612" w:rsidRDefault="00917E3C" w:rsidP="00917E3C">
      <w:pPr>
        <w:jc w:val="center"/>
        <w:rPr>
          <w:b/>
          <w:bCs/>
        </w:rPr>
      </w:pPr>
      <w:r>
        <w:br w:type="column"/>
      </w:r>
      <w:r w:rsidR="00713B48" w:rsidRPr="00E95612">
        <w:rPr>
          <w:b/>
          <w:bCs/>
        </w:rPr>
        <w:lastRenderedPageBreak/>
        <w:t>References</w:t>
      </w:r>
    </w:p>
    <w:p w:rsidR="00F75960" w:rsidRDefault="00F8199D" w:rsidP="00A21FC7">
      <w:pPr>
        <w:pStyle w:val="List"/>
        <w:spacing w:after="120"/>
        <w:ind w:left="539" w:hanging="539"/>
        <w:rPr>
          <w:lang w:val="en-US"/>
        </w:rPr>
      </w:pPr>
      <w:r w:rsidRPr="005D5177">
        <w:rPr>
          <w:lang w:val="en-US"/>
        </w:rPr>
        <w:t xml:space="preserve">ABARE </w:t>
      </w:r>
      <w:r w:rsidRPr="005D5177">
        <w:rPr>
          <w:lang w:val="en-US" w:eastAsia="en-US"/>
        </w:rPr>
        <w:t xml:space="preserve">(Australian Bureau of Agricultural and Resource Economics), </w:t>
      </w:r>
      <w:r w:rsidRPr="005D5177">
        <w:rPr>
          <w:lang w:val="en-US"/>
        </w:rPr>
        <w:t>1996</w:t>
      </w:r>
      <w:r w:rsidR="00F76154" w:rsidRPr="005D5177">
        <w:rPr>
          <w:lang w:val="en-US"/>
        </w:rPr>
        <w:t>,</w:t>
      </w:r>
      <w:r w:rsidRPr="005D5177">
        <w:rPr>
          <w:lang w:val="en-US"/>
        </w:rPr>
        <w:t xml:space="preserve"> </w:t>
      </w:r>
      <w:r w:rsidRPr="005D5177">
        <w:rPr>
          <w:i/>
          <w:iCs/>
          <w:lang w:val="en-US"/>
        </w:rPr>
        <w:t xml:space="preserve">The MEGABARE model: interim documentation, </w:t>
      </w:r>
      <w:r w:rsidRPr="005D5177">
        <w:rPr>
          <w:lang w:val="en-US"/>
        </w:rPr>
        <w:t>ABARE, Canberra.</w:t>
      </w:r>
    </w:p>
    <w:p w:rsidR="00F75960" w:rsidRDefault="00F75960" w:rsidP="00A21FC7">
      <w:pPr>
        <w:pStyle w:val="List"/>
        <w:spacing w:after="120"/>
        <w:ind w:left="539" w:hanging="539"/>
        <w:rPr>
          <w:lang w:val="en-US"/>
        </w:rPr>
      </w:pPr>
      <w:proofErr w:type="spellStart"/>
      <w:r>
        <w:rPr>
          <w:lang w:val="en-US"/>
        </w:rPr>
        <w:t>Arora</w:t>
      </w:r>
      <w:proofErr w:type="spellEnd"/>
      <w:r>
        <w:rPr>
          <w:lang w:val="en-US"/>
        </w:rPr>
        <w:t xml:space="preserve">, V. and </w:t>
      </w:r>
      <w:proofErr w:type="spellStart"/>
      <w:proofErr w:type="gramStart"/>
      <w:r>
        <w:rPr>
          <w:lang w:val="en-US"/>
        </w:rPr>
        <w:t>Cai</w:t>
      </w:r>
      <w:proofErr w:type="spellEnd"/>
      <w:proofErr w:type="gramEnd"/>
      <w:r>
        <w:rPr>
          <w:lang w:val="en-US"/>
        </w:rPr>
        <w:t xml:space="preserve">, Y., 2014. Disaggregating Electricity Generation </w:t>
      </w:r>
      <w:proofErr w:type="gramStart"/>
      <w:r>
        <w:rPr>
          <w:lang w:val="en-US"/>
        </w:rPr>
        <w:t>Technologies  in</w:t>
      </w:r>
      <w:proofErr w:type="gramEnd"/>
      <w:r>
        <w:rPr>
          <w:lang w:val="en-US"/>
        </w:rPr>
        <w:t xml:space="preserve"> CGE models, CAMA Working Paper 54/2014, Center for Applied Macroeconomic Analysis, Australian National University, Canberra, Australia.</w:t>
      </w:r>
    </w:p>
    <w:p w:rsidR="00713B48" w:rsidRPr="005D5177" w:rsidRDefault="00713B48" w:rsidP="00A21FC7">
      <w:pPr>
        <w:pStyle w:val="List"/>
        <w:spacing w:after="120"/>
        <w:ind w:left="539" w:hanging="539"/>
        <w:rPr>
          <w:lang w:val="en-US"/>
        </w:rPr>
      </w:pPr>
      <w:proofErr w:type="spellStart"/>
      <w:r w:rsidRPr="005D5177">
        <w:rPr>
          <w:lang w:val="en-US"/>
        </w:rPr>
        <w:t>Baumol</w:t>
      </w:r>
      <w:proofErr w:type="spellEnd"/>
      <w:r w:rsidRPr="005D5177">
        <w:rPr>
          <w:lang w:val="en-US"/>
        </w:rPr>
        <w:t>, W. J.</w:t>
      </w:r>
      <w:r w:rsidR="006E673F" w:rsidRPr="005D5177">
        <w:rPr>
          <w:lang w:val="en-US"/>
        </w:rPr>
        <w:t xml:space="preserve">, </w:t>
      </w:r>
      <w:r w:rsidRPr="005D5177">
        <w:rPr>
          <w:lang w:val="en-US"/>
        </w:rPr>
        <w:t xml:space="preserve">1977. On the Proper Cost Tests for Natural Monopoly in a Multiproduct Industry, </w:t>
      </w:r>
      <w:r w:rsidRPr="005D5177">
        <w:rPr>
          <w:i/>
          <w:iCs/>
          <w:lang w:val="en-US"/>
        </w:rPr>
        <w:t>American Economic Review</w:t>
      </w:r>
      <w:r w:rsidRPr="005D5177">
        <w:rPr>
          <w:lang w:val="en-US"/>
        </w:rPr>
        <w:t xml:space="preserve"> 67, 809-22.</w:t>
      </w:r>
    </w:p>
    <w:p w:rsidR="004C1AAA" w:rsidRPr="005D5177" w:rsidRDefault="004C1AAA" w:rsidP="006023A8">
      <w:pPr>
        <w:pStyle w:val="List"/>
        <w:spacing w:after="120"/>
        <w:ind w:left="539" w:hanging="539"/>
        <w:rPr>
          <w:lang w:val="en-US"/>
        </w:rPr>
      </w:pPr>
      <w:proofErr w:type="spellStart"/>
      <w:r w:rsidRPr="005D5177">
        <w:rPr>
          <w:lang w:val="en-US"/>
        </w:rPr>
        <w:t>Böhringer</w:t>
      </w:r>
      <w:proofErr w:type="spellEnd"/>
      <w:r w:rsidRPr="005D5177">
        <w:rPr>
          <w:lang w:val="en-US"/>
        </w:rPr>
        <w:t xml:space="preserve">, C., Rutherford, T., </w:t>
      </w:r>
      <w:proofErr w:type="spellStart"/>
      <w:r w:rsidRPr="005D5177">
        <w:rPr>
          <w:lang w:val="en-US"/>
        </w:rPr>
        <w:t>Tol</w:t>
      </w:r>
      <w:proofErr w:type="spellEnd"/>
      <w:r w:rsidR="006E673F" w:rsidRPr="005D5177">
        <w:rPr>
          <w:lang w:val="en-US"/>
        </w:rPr>
        <w:t>, R.</w:t>
      </w:r>
      <w:r w:rsidR="00F76154" w:rsidRPr="005D5177">
        <w:rPr>
          <w:lang w:val="en-US"/>
        </w:rPr>
        <w:t>,</w:t>
      </w:r>
      <w:r w:rsidRPr="005D5177">
        <w:rPr>
          <w:lang w:val="en-US"/>
        </w:rPr>
        <w:t xml:space="preserve"> 2009</w:t>
      </w:r>
      <w:r w:rsidR="006E673F" w:rsidRPr="005D5177">
        <w:rPr>
          <w:lang w:val="en-US"/>
        </w:rPr>
        <w:t>.</w:t>
      </w:r>
      <w:r w:rsidRPr="005D5177">
        <w:rPr>
          <w:lang w:val="en-US"/>
        </w:rPr>
        <w:t xml:space="preserve"> The EU 20/20/2020 Targets: an Overview of the EMF22 Assessment, </w:t>
      </w:r>
      <w:r w:rsidR="003A79EB" w:rsidRPr="005D5177">
        <w:rPr>
          <w:i/>
          <w:lang w:val="en-US"/>
        </w:rPr>
        <w:t>Energy Economics</w:t>
      </w:r>
      <w:r w:rsidR="003A79EB" w:rsidRPr="005D5177">
        <w:rPr>
          <w:lang w:val="en-US"/>
        </w:rPr>
        <w:t>, 31, S268-S273</w:t>
      </w:r>
      <w:r w:rsidRPr="005D5177">
        <w:rPr>
          <w:lang w:val="en-US"/>
        </w:rPr>
        <w:t>.</w:t>
      </w:r>
    </w:p>
    <w:p w:rsidR="003C166F" w:rsidRPr="005D5177" w:rsidRDefault="003C166F" w:rsidP="003C166F">
      <w:pPr>
        <w:pStyle w:val="List"/>
        <w:spacing w:after="120"/>
        <w:ind w:left="539" w:hanging="539"/>
        <w:rPr>
          <w:lang w:val="en-US"/>
        </w:rPr>
      </w:pPr>
      <w:proofErr w:type="spellStart"/>
      <w:r w:rsidRPr="005D5177">
        <w:rPr>
          <w:lang w:val="en-US"/>
        </w:rPr>
        <w:t>Bonacina</w:t>
      </w:r>
      <w:proofErr w:type="spellEnd"/>
      <w:r w:rsidRPr="005D5177">
        <w:rPr>
          <w:lang w:val="en-US"/>
        </w:rPr>
        <w:t xml:space="preserve">, M. and </w:t>
      </w:r>
      <w:proofErr w:type="spellStart"/>
      <w:r w:rsidRPr="005D5177">
        <w:rPr>
          <w:lang w:val="en-US"/>
        </w:rPr>
        <w:t>Gulli</w:t>
      </w:r>
      <w:proofErr w:type="spellEnd"/>
      <w:r w:rsidRPr="005D5177">
        <w:rPr>
          <w:lang w:val="en-US"/>
        </w:rPr>
        <w:t>,</w:t>
      </w:r>
      <w:r w:rsidR="00F76154" w:rsidRPr="005D5177">
        <w:rPr>
          <w:lang w:val="en-US"/>
        </w:rPr>
        <w:t xml:space="preserve"> F.,</w:t>
      </w:r>
      <w:r w:rsidRPr="005D5177">
        <w:rPr>
          <w:lang w:val="en-US"/>
        </w:rPr>
        <w:t xml:space="preserve"> 2007. </w:t>
      </w:r>
      <w:r w:rsidRPr="005D5177">
        <w:t xml:space="preserve">Electricity pricing under “carbon emissions trading”: A dominant firm with competitive fringe model, </w:t>
      </w:r>
      <w:r w:rsidRPr="005D5177">
        <w:rPr>
          <w:i/>
        </w:rPr>
        <w:t>Energy Policy</w:t>
      </w:r>
      <w:r w:rsidRPr="005D5177">
        <w:t>, 35(8), 4200-4220.</w:t>
      </w:r>
    </w:p>
    <w:p w:rsidR="00250BDA" w:rsidRPr="005D5177" w:rsidRDefault="003C166F" w:rsidP="003C166F">
      <w:pPr>
        <w:pStyle w:val="List"/>
        <w:spacing w:after="120"/>
        <w:ind w:left="539" w:hanging="539"/>
        <w:rPr>
          <w:rFonts w:eastAsia="Calibri"/>
          <w:lang w:val="en-US"/>
        </w:rPr>
      </w:pPr>
      <w:proofErr w:type="spellStart"/>
      <w:r w:rsidRPr="005D5177">
        <w:rPr>
          <w:rFonts w:eastAsia="Calibri"/>
          <w:lang w:val="en-US"/>
        </w:rPr>
        <w:t>Borenstein</w:t>
      </w:r>
      <w:proofErr w:type="spellEnd"/>
      <w:r w:rsidRPr="005D5177">
        <w:rPr>
          <w:rFonts w:eastAsia="Calibri"/>
          <w:lang w:val="en-US"/>
        </w:rPr>
        <w:t xml:space="preserve">, </w:t>
      </w:r>
      <w:r w:rsidR="00250BDA" w:rsidRPr="005D5177">
        <w:rPr>
          <w:rFonts w:eastAsia="Calibri"/>
          <w:lang w:val="en-US"/>
        </w:rPr>
        <w:t xml:space="preserve">S., </w:t>
      </w:r>
      <w:r w:rsidRPr="005D5177">
        <w:rPr>
          <w:rFonts w:eastAsia="Calibri"/>
          <w:lang w:val="en-US"/>
        </w:rPr>
        <w:t>Bushnell</w:t>
      </w:r>
      <w:r w:rsidR="00250BDA" w:rsidRPr="005D5177">
        <w:rPr>
          <w:rFonts w:eastAsia="Calibri"/>
          <w:lang w:val="en-US"/>
        </w:rPr>
        <w:t xml:space="preserve">, J. B., </w:t>
      </w:r>
      <w:r w:rsidRPr="005D5177">
        <w:rPr>
          <w:rFonts w:eastAsia="Calibri"/>
          <w:lang w:val="en-US"/>
        </w:rPr>
        <w:t xml:space="preserve">and </w:t>
      </w:r>
      <w:proofErr w:type="spellStart"/>
      <w:r w:rsidRPr="005D5177">
        <w:rPr>
          <w:rFonts w:eastAsia="Calibri"/>
          <w:lang w:val="en-US"/>
        </w:rPr>
        <w:t>Wolak</w:t>
      </w:r>
      <w:proofErr w:type="spellEnd"/>
      <w:r w:rsidR="00250BDA" w:rsidRPr="005D5177">
        <w:rPr>
          <w:rFonts w:eastAsia="Calibri"/>
          <w:lang w:val="en-US"/>
        </w:rPr>
        <w:t xml:space="preserve">, F. </w:t>
      </w:r>
      <w:proofErr w:type="gramStart"/>
      <w:r w:rsidR="00250BDA" w:rsidRPr="005D5177">
        <w:rPr>
          <w:rFonts w:eastAsia="Calibri"/>
          <w:lang w:val="en-US"/>
        </w:rPr>
        <w:t>A.</w:t>
      </w:r>
      <w:r w:rsidR="00F76154" w:rsidRPr="005D5177">
        <w:rPr>
          <w:rFonts w:eastAsia="Calibri"/>
          <w:lang w:val="en-US"/>
        </w:rPr>
        <w:t>.</w:t>
      </w:r>
      <w:proofErr w:type="gramEnd"/>
      <w:r w:rsidRPr="005D5177">
        <w:rPr>
          <w:rFonts w:eastAsia="Calibri"/>
          <w:lang w:val="en-US"/>
        </w:rPr>
        <w:t xml:space="preserve"> 2002. Measuring market inefficiencies in California’s restructured wholesale electricity market. </w:t>
      </w:r>
      <w:r w:rsidRPr="005D5177">
        <w:rPr>
          <w:rFonts w:eastAsia="Calibri"/>
          <w:i/>
          <w:lang w:val="en-US"/>
        </w:rPr>
        <w:t>American Economic Review</w:t>
      </w:r>
      <w:r w:rsidRPr="005D5177">
        <w:rPr>
          <w:rFonts w:eastAsia="Calibri"/>
          <w:lang w:val="en-US"/>
        </w:rPr>
        <w:t>; 92(5): 1376-1405</w:t>
      </w:r>
      <w:r w:rsidR="00250BDA" w:rsidRPr="005D5177">
        <w:rPr>
          <w:rFonts w:eastAsia="Calibri"/>
          <w:lang w:val="en-US"/>
        </w:rPr>
        <w:t>.</w:t>
      </w:r>
    </w:p>
    <w:p w:rsidR="00F8199D" w:rsidRPr="005D5177" w:rsidRDefault="00F8199D" w:rsidP="00F8199D">
      <w:pPr>
        <w:pStyle w:val="List"/>
        <w:spacing w:after="120"/>
        <w:ind w:left="539" w:hanging="539"/>
        <w:rPr>
          <w:lang w:val="en-US" w:eastAsia="en-US"/>
        </w:rPr>
      </w:pPr>
      <w:proofErr w:type="spellStart"/>
      <w:r w:rsidRPr="005D5177">
        <w:rPr>
          <w:lang w:val="en-US"/>
        </w:rPr>
        <w:t>Burniaux</w:t>
      </w:r>
      <w:proofErr w:type="spellEnd"/>
      <w:r w:rsidRPr="005D5177">
        <w:rPr>
          <w:lang w:val="en-US"/>
        </w:rPr>
        <w:t>, J. -M., Truong</w:t>
      </w:r>
      <w:r w:rsidR="00F76154" w:rsidRPr="005D5177">
        <w:rPr>
          <w:lang w:val="en-US"/>
        </w:rPr>
        <w:t>, T.P.,</w:t>
      </w:r>
      <w:r w:rsidRPr="005D5177">
        <w:rPr>
          <w:lang w:val="en-US"/>
        </w:rPr>
        <w:t xml:space="preserve"> 2002</w:t>
      </w:r>
      <w:r w:rsidR="00F76154" w:rsidRPr="005D5177">
        <w:rPr>
          <w:lang w:val="en-US"/>
        </w:rPr>
        <w:t>.</w:t>
      </w:r>
      <w:r w:rsidRPr="005D5177">
        <w:rPr>
          <w:lang w:val="en-US"/>
        </w:rPr>
        <w:t xml:space="preserve"> GTAP-E: An Energy-Environmental Version of the GTAP Model, GTAP Technical Paper No. 16, Center for Global Trade Analysis, Purdue University, West Lafayette, Indiana, USA.</w:t>
      </w:r>
    </w:p>
    <w:p w:rsidR="00F65DD2" w:rsidRDefault="00F65DD2" w:rsidP="00F65DD2">
      <w:pPr>
        <w:pStyle w:val="List"/>
        <w:spacing w:after="120"/>
        <w:ind w:left="539" w:hanging="539"/>
        <w:rPr>
          <w:rFonts w:eastAsia="Calibri"/>
          <w:bCs/>
          <w:lang w:val="en-US"/>
        </w:rPr>
      </w:pPr>
      <w:r w:rsidRPr="005D5177">
        <w:rPr>
          <w:rFonts w:eastAsia="Calibri"/>
        </w:rPr>
        <w:t>Cardell, J. B., Hitt, C. C., and Hogan, W. W.</w:t>
      </w:r>
      <w:r w:rsidR="00F76154" w:rsidRPr="005D5177">
        <w:rPr>
          <w:rFonts w:eastAsia="Calibri"/>
        </w:rPr>
        <w:t>,</w:t>
      </w:r>
      <w:r w:rsidRPr="005D5177">
        <w:rPr>
          <w:rFonts w:eastAsia="Calibri"/>
        </w:rPr>
        <w:t xml:space="preserve"> 1997</w:t>
      </w:r>
      <w:r w:rsidR="00F76154" w:rsidRPr="005D5177">
        <w:rPr>
          <w:rFonts w:eastAsia="Calibri"/>
        </w:rPr>
        <w:t xml:space="preserve">. </w:t>
      </w:r>
      <w:r w:rsidRPr="005D5177">
        <w:rPr>
          <w:rFonts w:eastAsia="Calibri"/>
        </w:rPr>
        <w:t>M</w:t>
      </w:r>
      <w:r w:rsidRPr="005D5177">
        <w:rPr>
          <w:rFonts w:eastAsia="Calibri"/>
          <w:bCs/>
        </w:rPr>
        <w:t>arket power and strategic interaction in electricity networks</w:t>
      </w:r>
      <w:r w:rsidRPr="005D5177">
        <w:rPr>
          <w:rFonts w:eastAsia="Calibri"/>
          <w:bCs/>
          <w:lang w:val="en-US"/>
        </w:rPr>
        <w:t xml:space="preserve">, </w:t>
      </w:r>
      <w:r w:rsidRPr="005D5177">
        <w:rPr>
          <w:rFonts w:eastAsia="Calibri"/>
          <w:bCs/>
          <w:i/>
          <w:lang w:val="en-US"/>
        </w:rPr>
        <w:t>Resource and Energy Economics</w:t>
      </w:r>
      <w:r w:rsidRPr="005D5177">
        <w:rPr>
          <w:rFonts w:eastAsia="Calibri"/>
          <w:bCs/>
          <w:lang w:val="en-US"/>
        </w:rPr>
        <w:t>, 19, 109-137</w:t>
      </w:r>
    </w:p>
    <w:p w:rsidR="00917E3C" w:rsidRDefault="00917E3C" w:rsidP="00917E3C">
      <w:pPr>
        <w:pStyle w:val="List"/>
        <w:spacing w:after="120"/>
        <w:ind w:left="539" w:hanging="539"/>
      </w:pPr>
      <w:r>
        <w:t xml:space="preserve">Dixon, P. B., Parmenter, B. R., Sutton, J., and Vincent, D. P. </w:t>
      </w:r>
      <w:r w:rsidR="00A30786">
        <w:t>1982</w:t>
      </w:r>
      <w:r>
        <w:t>. ORANI: A multisectoral model of the Australian Economy , North-Holland, Amsterdam.</w:t>
      </w:r>
    </w:p>
    <w:p w:rsidR="00713B48" w:rsidRPr="005D5177" w:rsidRDefault="00713B48" w:rsidP="00E80ADD">
      <w:pPr>
        <w:pStyle w:val="List"/>
        <w:ind w:left="539" w:hanging="539"/>
        <w:rPr>
          <w:lang w:val="en-US"/>
        </w:rPr>
      </w:pPr>
      <w:proofErr w:type="spellStart"/>
      <w:r w:rsidRPr="005D5177">
        <w:rPr>
          <w:lang w:val="en-US"/>
        </w:rPr>
        <w:t>Espey</w:t>
      </w:r>
      <w:proofErr w:type="spellEnd"/>
      <w:r w:rsidRPr="005D5177">
        <w:rPr>
          <w:lang w:val="en-US"/>
        </w:rPr>
        <w:t>, J</w:t>
      </w:r>
      <w:r w:rsidR="006E673F" w:rsidRPr="005D5177">
        <w:rPr>
          <w:lang w:val="en-US"/>
        </w:rPr>
        <w:t>.</w:t>
      </w:r>
      <w:r w:rsidRPr="005D5177">
        <w:rPr>
          <w:lang w:val="en-US"/>
        </w:rPr>
        <w:t xml:space="preserve">A., </w:t>
      </w:r>
      <w:proofErr w:type="spellStart"/>
      <w:r w:rsidRPr="005D5177">
        <w:rPr>
          <w:lang w:val="en-US"/>
        </w:rPr>
        <w:t>Espey</w:t>
      </w:r>
      <w:proofErr w:type="spellEnd"/>
      <w:r w:rsidRPr="005D5177">
        <w:rPr>
          <w:lang w:val="en-US"/>
        </w:rPr>
        <w:t>, M</w:t>
      </w:r>
      <w:r w:rsidR="006E673F" w:rsidRPr="005D5177">
        <w:rPr>
          <w:lang w:val="en-US"/>
        </w:rPr>
        <w:t>.,</w:t>
      </w:r>
      <w:r w:rsidRPr="005D5177">
        <w:rPr>
          <w:lang w:val="en-US"/>
        </w:rPr>
        <w:t xml:space="preserve"> 2004</w:t>
      </w:r>
      <w:r w:rsidR="00F76154" w:rsidRPr="005D5177">
        <w:rPr>
          <w:lang w:val="en-US"/>
        </w:rPr>
        <w:t>.</w:t>
      </w:r>
      <w:r w:rsidR="006E673F" w:rsidRPr="005D5177">
        <w:rPr>
          <w:lang w:val="en-US"/>
        </w:rPr>
        <w:t xml:space="preserve"> </w:t>
      </w:r>
      <w:r w:rsidRPr="005D5177">
        <w:rPr>
          <w:lang w:val="en-US"/>
        </w:rPr>
        <w:t>Turning on the Lights: A Meta-analysis of Residential Electricity Demand Elasticities</w:t>
      </w:r>
      <w:r w:rsidR="000D656A" w:rsidRPr="005D5177">
        <w:rPr>
          <w:lang w:val="en-US"/>
        </w:rPr>
        <w:t>’</w:t>
      </w:r>
      <w:r w:rsidRPr="005D5177">
        <w:rPr>
          <w:lang w:val="en-US"/>
        </w:rPr>
        <w:t xml:space="preserve">, </w:t>
      </w:r>
      <w:r w:rsidRPr="005D5177">
        <w:rPr>
          <w:i/>
          <w:iCs/>
          <w:lang w:val="en-US"/>
        </w:rPr>
        <w:t>Journal of Agricultural and Applied Economics</w:t>
      </w:r>
      <w:r w:rsidRPr="005D5177">
        <w:rPr>
          <w:lang w:val="en-US"/>
        </w:rPr>
        <w:t>, April, 36:1, 65-81.</w:t>
      </w:r>
    </w:p>
    <w:p w:rsidR="00F8199D" w:rsidRPr="005D5177" w:rsidRDefault="00F8199D" w:rsidP="00F8199D">
      <w:pPr>
        <w:pStyle w:val="List"/>
        <w:spacing w:after="120"/>
        <w:ind w:left="539" w:hanging="539"/>
        <w:rPr>
          <w:lang w:val="en-US" w:eastAsia="en-US"/>
        </w:rPr>
      </w:pPr>
      <w:proofErr w:type="spellStart"/>
      <w:r w:rsidRPr="005D5177">
        <w:rPr>
          <w:lang w:val="en-US" w:eastAsia="en-US"/>
        </w:rPr>
        <w:t>Hanoch</w:t>
      </w:r>
      <w:proofErr w:type="spellEnd"/>
      <w:r w:rsidRPr="005D5177">
        <w:rPr>
          <w:lang w:val="en-US" w:eastAsia="en-US"/>
        </w:rPr>
        <w:t>, G.</w:t>
      </w:r>
      <w:r w:rsidR="00F76154" w:rsidRPr="005D5177">
        <w:rPr>
          <w:lang w:val="en-US" w:eastAsia="en-US"/>
        </w:rPr>
        <w:t>,</w:t>
      </w:r>
      <w:r w:rsidRPr="005D5177">
        <w:rPr>
          <w:lang w:val="en-US" w:eastAsia="en-US"/>
        </w:rPr>
        <w:t xml:space="preserve"> 1971</w:t>
      </w:r>
      <w:r w:rsidR="00F76154" w:rsidRPr="005D5177">
        <w:rPr>
          <w:lang w:val="en-US" w:eastAsia="en-US"/>
        </w:rPr>
        <w:t>,</w:t>
      </w:r>
      <w:r w:rsidRPr="005D5177">
        <w:rPr>
          <w:lang w:val="en-US" w:eastAsia="en-US"/>
        </w:rPr>
        <w:t xml:space="preserve"> CRESH Production Function, </w:t>
      </w:r>
      <w:proofErr w:type="spellStart"/>
      <w:r w:rsidRPr="005D5177">
        <w:rPr>
          <w:i/>
          <w:iCs/>
          <w:lang w:val="en-US" w:eastAsia="en-US"/>
        </w:rPr>
        <w:t>Econometrica</w:t>
      </w:r>
      <w:proofErr w:type="spellEnd"/>
      <w:r w:rsidRPr="005D5177">
        <w:rPr>
          <w:lang w:val="en-US" w:eastAsia="en-US"/>
        </w:rPr>
        <w:t>, 39, 695-712.</w:t>
      </w:r>
    </w:p>
    <w:p w:rsidR="00713B48" w:rsidRPr="005D5177" w:rsidRDefault="00713B48" w:rsidP="00E80ADD">
      <w:pPr>
        <w:pStyle w:val="List"/>
        <w:ind w:left="539" w:hanging="539"/>
      </w:pPr>
      <w:r w:rsidRPr="005D5177">
        <w:rPr>
          <w:lang w:val="en-AU"/>
        </w:rPr>
        <w:t>Johnson, E. 2010</w:t>
      </w:r>
      <w:r w:rsidR="006E673F" w:rsidRPr="005D5177">
        <w:rPr>
          <w:lang w:val="en-AU"/>
        </w:rPr>
        <w:t xml:space="preserve">. </w:t>
      </w:r>
      <w:r w:rsidRPr="005D5177">
        <w:rPr>
          <w:lang w:val="en-US"/>
        </w:rPr>
        <w:t>The Price elasticity of supply of renewable electricity generation: evidence from state renewable portfolio, Georgia Tech School of Economics,</w:t>
      </w:r>
      <w:r w:rsidRPr="005D5177">
        <w:rPr>
          <w:rFonts w:ascii="NimbusRomNo9L-Regu" w:hAnsi="NimbusRomNo9L-Regu" w:cs="NimbusRomNo9L-Regu"/>
          <w:lang w:val="en-US"/>
        </w:rPr>
        <w:t xml:space="preserve"> </w:t>
      </w:r>
      <w:r w:rsidRPr="005D5177">
        <w:rPr>
          <w:lang w:val="en-US"/>
        </w:rPr>
        <w:t xml:space="preserve">Working Paper # WP2011-001. </w:t>
      </w:r>
      <w:hyperlink r:id="rId97" w:history="1">
        <w:r w:rsidRPr="005D5177">
          <w:rPr>
            <w:rStyle w:val="Hyperlink"/>
          </w:rPr>
          <w:t>http://www.erik.johnson.econ.gatech.edu/docs/epjohnson_rps.pdf</w:t>
        </w:r>
      </w:hyperlink>
      <w:r w:rsidRPr="005D5177">
        <w:t>.</w:t>
      </w:r>
    </w:p>
    <w:p w:rsidR="004C1AAA" w:rsidRPr="005D5177" w:rsidRDefault="004C1AAA" w:rsidP="004C1AAA">
      <w:pPr>
        <w:pStyle w:val="List"/>
        <w:spacing w:after="120"/>
        <w:ind w:left="539" w:hanging="539"/>
        <w:rPr>
          <w:lang w:val="en-US"/>
        </w:rPr>
      </w:pPr>
      <w:proofErr w:type="spellStart"/>
      <w:r w:rsidRPr="005D5177">
        <w:rPr>
          <w:lang w:val="en-US"/>
        </w:rPr>
        <w:t>Kemfert</w:t>
      </w:r>
      <w:proofErr w:type="spellEnd"/>
      <w:r w:rsidRPr="005D5177">
        <w:rPr>
          <w:lang w:val="en-US"/>
        </w:rPr>
        <w:t xml:space="preserve">, C., </w:t>
      </w:r>
      <w:proofErr w:type="spellStart"/>
      <w:r w:rsidRPr="005D5177">
        <w:rPr>
          <w:lang w:val="en-US"/>
        </w:rPr>
        <w:t>Diekmann</w:t>
      </w:r>
      <w:proofErr w:type="spellEnd"/>
      <w:r w:rsidR="006E673F" w:rsidRPr="005D5177">
        <w:rPr>
          <w:lang w:val="en-US"/>
        </w:rPr>
        <w:t>, J.</w:t>
      </w:r>
      <w:r w:rsidRPr="005D5177">
        <w:rPr>
          <w:lang w:val="en-US"/>
        </w:rPr>
        <w:t xml:space="preserve"> 2009</w:t>
      </w:r>
      <w:r w:rsidR="006E673F" w:rsidRPr="005D5177">
        <w:rPr>
          <w:lang w:val="en-US"/>
        </w:rPr>
        <w:t>.</w:t>
      </w:r>
      <w:r w:rsidRPr="005D5177">
        <w:rPr>
          <w:lang w:val="en-US"/>
        </w:rPr>
        <w:t xml:space="preserve"> Emissions </w:t>
      </w:r>
      <w:proofErr w:type="gramStart"/>
      <w:r w:rsidRPr="005D5177">
        <w:rPr>
          <w:lang w:val="en-US"/>
        </w:rPr>
        <w:t>Trading</w:t>
      </w:r>
      <w:proofErr w:type="gramEnd"/>
      <w:r w:rsidRPr="005D5177">
        <w:rPr>
          <w:lang w:val="en-US"/>
        </w:rPr>
        <w:t xml:space="preserve"> and Promotion of Renewable Energy – We need Both, DIW Berlin Weekly Report No. 14/2009.</w:t>
      </w:r>
    </w:p>
    <w:p w:rsidR="00713B48" w:rsidRPr="005D5177" w:rsidRDefault="00713B48" w:rsidP="0053629C">
      <w:pPr>
        <w:pStyle w:val="List"/>
        <w:spacing w:after="120"/>
        <w:ind w:left="539" w:hanging="539"/>
        <w:rPr>
          <w:lang w:val="en-US"/>
        </w:rPr>
      </w:pPr>
      <w:r w:rsidRPr="005D5177">
        <w:rPr>
          <w:lang w:val="en-US"/>
        </w:rPr>
        <w:t>Narayanan, B</w:t>
      </w:r>
      <w:r w:rsidR="006E673F" w:rsidRPr="005D5177">
        <w:rPr>
          <w:lang w:val="en-US"/>
        </w:rPr>
        <w:t>.</w:t>
      </w:r>
      <w:r w:rsidRPr="005D5177">
        <w:rPr>
          <w:lang w:val="en-US"/>
        </w:rPr>
        <w:t>G.</w:t>
      </w:r>
      <w:r w:rsidR="006E673F" w:rsidRPr="005D5177">
        <w:rPr>
          <w:lang w:val="en-US"/>
        </w:rPr>
        <w:t>,</w:t>
      </w:r>
      <w:r w:rsidRPr="005D5177">
        <w:rPr>
          <w:lang w:val="en-US"/>
        </w:rPr>
        <w:t xml:space="preserve"> </w:t>
      </w:r>
      <w:proofErr w:type="spellStart"/>
      <w:r w:rsidRPr="005D5177">
        <w:rPr>
          <w:lang w:val="en-US"/>
        </w:rPr>
        <w:t>Walmsley</w:t>
      </w:r>
      <w:proofErr w:type="spellEnd"/>
      <w:r w:rsidR="006E673F" w:rsidRPr="005D5177">
        <w:rPr>
          <w:lang w:val="en-US"/>
        </w:rPr>
        <w:t>, T.L.,</w:t>
      </w:r>
      <w:r w:rsidRPr="005D5177">
        <w:rPr>
          <w:lang w:val="en-US"/>
        </w:rPr>
        <w:t xml:space="preserve"> (Editors)</w:t>
      </w:r>
      <w:r w:rsidR="00F76154" w:rsidRPr="005D5177">
        <w:rPr>
          <w:lang w:val="en-US"/>
        </w:rPr>
        <w:t>,</w:t>
      </w:r>
      <w:r w:rsidRPr="005D5177">
        <w:rPr>
          <w:lang w:val="en-US"/>
        </w:rPr>
        <w:t xml:space="preserve"> 2008</w:t>
      </w:r>
      <w:r w:rsidR="006E673F" w:rsidRPr="005D5177">
        <w:rPr>
          <w:lang w:val="en-US"/>
        </w:rPr>
        <w:t>.</w:t>
      </w:r>
      <w:r w:rsidRPr="005D5177">
        <w:rPr>
          <w:lang w:val="en-US"/>
        </w:rPr>
        <w:t xml:space="preserve"> </w:t>
      </w:r>
      <w:r w:rsidRPr="005D5177">
        <w:rPr>
          <w:i/>
          <w:iCs/>
          <w:lang w:val="en-US"/>
        </w:rPr>
        <w:t>Global Trade, Assistance, and Production: The GTAP 7 Data Base</w:t>
      </w:r>
      <w:r w:rsidRPr="005D5177">
        <w:rPr>
          <w:lang w:val="en-US"/>
        </w:rPr>
        <w:t xml:space="preserve">, Center for Global Trade Analysis, Purdue University. </w:t>
      </w:r>
    </w:p>
    <w:p w:rsidR="00F8199D" w:rsidRPr="005D5177" w:rsidRDefault="00F8199D" w:rsidP="00A0595D">
      <w:pPr>
        <w:pStyle w:val="List"/>
        <w:spacing w:after="120"/>
        <w:ind w:left="539" w:hanging="539"/>
        <w:rPr>
          <w:lang w:val="en-US"/>
        </w:rPr>
      </w:pPr>
      <w:r w:rsidRPr="005D5177">
        <w:rPr>
          <w:lang w:val="en-US"/>
        </w:rPr>
        <w:lastRenderedPageBreak/>
        <w:t>Pant, H. 2007</w:t>
      </w:r>
      <w:r w:rsidR="00F76154" w:rsidRPr="005D5177">
        <w:rPr>
          <w:lang w:val="en-US"/>
        </w:rPr>
        <w:t>.</w:t>
      </w:r>
      <w:r w:rsidRPr="005D5177">
        <w:rPr>
          <w:lang w:val="en-US"/>
        </w:rPr>
        <w:t xml:space="preserve"> </w:t>
      </w:r>
      <w:r w:rsidRPr="005D5177">
        <w:rPr>
          <w:i/>
          <w:iCs/>
          <w:lang w:val="en-US"/>
        </w:rPr>
        <w:t xml:space="preserve">GTEM: Global Trade and Environment Model. </w:t>
      </w:r>
      <w:r w:rsidRPr="005D5177">
        <w:rPr>
          <w:lang w:val="en-US"/>
        </w:rPr>
        <w:t>ABARE Technical Report. www.abareconomics.com/interactive/GTEM/, accessed 4 October 2007.</w:t>
      </w:r>
    </w:p>
    <w:p w:rsidR="00B40CDC" w:rsidRPr="005D5177" w:rsidRDefault="00B40CDC" w:rsidP="00B40CDC">
      <w:pPr>
        <w:pStyle w:val="List"/>
        <w:spacing w:after="120"/>
        <w:ind w:left="539" w:hanging="539"/>
        <w:rPr>
          <w:lang w:val="en-US"/>
        </w:rPr>
      </w:pPr>
      <w:r w:rsidRPr="005D5177">
        <w:rPr>
          <w:lang w:val="en-US"/>
        </w:rPr>
        <w:t xml:space="preserve">Schumacher, K. and R. Sands (2006), Innovative energy technologies and climate policy in Germany, </w:t>
      </w:r>
      <w:r w:rsidRPr="005D5177">
        <w:rPr>
          <w:i/>
          <w:iCs/>
          <w:lang w:val="en-US"/>
        </w:rPr>
        <w:t>Energy Policy</w:t>
      </w:r>
      <w:r w:rsidRPr="005D5177">
        <w:rPr>
          <w:lang w:val="en-US"/>
        </w:rPr>
        <w:t>, 34(18), 3929-3941.</w:t>
      </w:r>
    </w:p>
    <w:p w:rsidR="00103B1F" w:rsidRPr="00B41E20" w:rsidRDefault="00103B1F" w:rsidP="00103B1F">
      <w:pPr>
        <w:pStyle w:val="List"/>
        <w:spacing w:after="120"/>
        <w:ind w:left="539" w:hanging="539"/>
        <w:rPr>
          <w:lang w:val="en-US"/>
        </w:rPr>
      </w:pPr>
      <w:r w:rsidRPr="00B41E20">
        <w:rPr>
          <w:rFonts w:ascii="TimesNewRomanPSMT" w:eastAsia="Calibri" w:hAnsi="TimesNewRomanPSMT" w:cs="TimesNewRomanPSMT"/>
        </w:rPr>
        <w:t xml:space="preserve">Sijm, J, Neuhoff, K., and Chen, Y., 2006. </w:t>
      </w:r>
      <w:r w:rsidRPr="00B41E20">
        <w:rPr>
          <w:rFonts w:ascii="TimesNewRomanPSMT" w:eastAsia="Calibri" w:hAnsi="TimesNewRomanPSMT" w:cs="TimesNewRomanPSMT"/>
          <w:lang w:val="en-US"/>
        </w:rPr>
        <w:t xml:space="preserve">CO2 cost pass-through and windfall profits in the power </w:t>
      </w:r>
      <w:proofErr w:type="gramStart"/>
      <w:r w:rsidRPr="00B41E20">
        <w:rPr>
          <w:rFonts w:ascii="TimesNewRomanPSMT" w:eastAsia="Calibri" w:hAnsi="TimesNewRomanPSMT" w:cs="TimesNewRomanPSMT"/>
          <w:lang w:val="en-US"/>
        </w:rPr>
        <w:t>sector</w:t>
      </w:r>
      <w:r w:rsidRPr="00B41E20">
        <w:rPr>
          <w:lang w:val="en-US"/>
        </w:rPr>
        <w:t xml:space="preserve"> ,</w:t>
      </w:r>
      <w:proofErr w:type="gramEnd"/>
      <w:r w:rsidRPr="00B41E20">
        <w:rPr>
          <w:lang w:val="en-US"/>
        </w:rPr>
        <w:t xml:space="preserve"> </w:t>
      </w:r>
      <w:r w:rsidRPr="00B41E20">
        <w:rPr>
          <w:i/>
          <w:lang w:val="en-US"/>
        </w:rPr>
        <w:t>Climate Policy</w:t>
      </w:r>
      <w:r w:rsidRPr="00B41E20">
        <w:rPr>
          <w:lang w:val="en-US"/>
        </w:rPr>
        <w:t>, Vol. 6, 49-72.</w:t>
      </w:r>
    </w:p>
    <w:p w:rsidR="00713B48" w:rsidRDefault="00713B48" w:rsidP="00E27E8F">
      <w:pPr>
        <w:pStyle w:val="List"/>
        <w:spacing w:after="120"/>
        <w:ind w:left="539" w:hanging="539"/>
      </w:pPr>
      <w:r w:rsidRPr="00426D1D">
        <w:rPr>
          <w:lang w:val="en-US"/>
        </w:rPr>
        <w:t>Wade, S. H.</w:t>
      </w:r>
      <w:r w:rsidR="006E673F">
        <w:rPr>
          <w:lang w:val="en-US"/>
        </w:rPr>
        <w:t>,</w:t>
      </w:r>
      <w:r w:rsidRPr="00426D1D">
        <w:rPr>
          <w:lang w:val="en-US"/>
        </w:rPr>
        <w:t xml:space="preserve"> 2005</w:t>
      </w:r>
      <w:r w:rsidR="006E673F">
        <w:rPr>
          <w:lang w:val="en-US"/>
        </w:rPr>
        <w:t xml:space="preserve">. </w:t>
      </w:r>
      <w:r w:rsidRPr="00426D1D">
        <w:rPr>
          <w:lang w:val="en-US"/>
        </w:rPr>
        <w:t>Price Responsiveness in the AEO2003 NEMS Residential and Commercial Buildings Sector Models, Energy Information Administration.</w:t>
      </w:r>
      <w:r w:rsidRPr="00426D1D">
        <w:rPr>
          <w:lang w:val="en-US"/>
        </w:rPr>
        <w:tab/>
      </w:r>
      <w:r w:rsidRPr="00426D1D">
        <w:rPr>
          <w:lang w:val="en-US"/>
        </w:rPr>
        <w:br/>
      </w:r>
      <w:hyperlink r:id="rId98" w:history="1">
        <w:r w:rsidRPr="0089654A">
          <w:rPr>
            <w:rStyle w:val="Hyperlink"/>
          </w:rPr>
          <w:t>http://www.eia.doe.gov/oiaf/analysispaper/elasticity/index.html</w:t>
        </w:r>
      </w:hyperlink>
      <w:r>
        <w:t xml:space="preserve">. </w:t>
      </w:r>
    </w:p>
    <w:p w:rsidR="00713B48" w:rsidRDefault="00F65DD2" w:rsidP="0053629C">
      <w:pPr>
        <w:pStyle w:val="List"/>
        <w:spacing w:after="120"/>
        <w:ind w:left="539" w:hanging="539"/>
        <w:rPr>
          <w:lang w:val="en-US"/>
        </w:rPr>
      </w:pPr>
      <w:proofErr w:type="spellStart"/>
      <w:r>
        <w:rPr>
          <w:lang w:val="en-US"/>
        </w:rPr>
        <w:t>Wolak</w:t>
      </w:r>
      <w:proofErr w:type="spellEnd"/>
      <w:r w:rsidR="005D5177">
        <w:rPr>
          <w:lang w:val="en-US"/>
        </w:rPr>
        <w:t xml:space="preserve">, F. </w:t>
      </w:r>
      <w:r w:rsidR="006A7E85">
        <w:rPr>
          <w:lang w:val="en-US"/>
        </w:rPr>
        <w:t>A</w:t>
      </w:r>
      <w:r w:rsidR="005D5177">
        <w:rPr>
          <w:lang w:val="en-US"/>
        </w:rPr>
        <w:t>., 200</w:t>
      </w:r>
      <w:r w:rsidR="00271198">
        <w:rPr>
          <w:lang w:val="en-US"/>
        </w:rPr>
        <w:t>7</w:t>
      </w:r>
      <w:r w:rsidR="005D5177">
        <w:rPr>
          <w:lang w:val="en-US"/>
        </w:rPr>
        <w:t xml:space="preserve">. (Revised 2013) Regulating Competition in Wholesale Electricity Supply, Stanford Institute for Economic Policy Research, </w:t>
      </w:r>
      <w:r w:rsidR="00271198">
        <w:rPr>
          <w:lang w:val="en-US"/>
        </w:rPr>
        <w:t>available at:</w:t>
      </w:r>
      <w:r w:rsidR="00271198">
        <w:rPr>
          <w:lang w:val="en-US"/>
        </w:rPr>
        <w:tab/>
      </w:r>
      <w:r w:rsidR="00271198">
        <w:rPr>
          <w:lang w:val="en-US"/>
        </w:rPr>
        <w:br/>
      </w:r>
      <w:hyperlink r:id="rId99" w:history="1">
        <w:r w:rsidR="00271198" w:rsidRPr="00057D44">
          <w:rPr>
            <w:rStyle w:val="Hyperlink"/>
            <w:lang w:val="en-US"/>
          </w:rPr>
          <w:t>http://www.stanford.edu/group/fwolak/cgi-bin/sites/default/files/files/regulating_wholesale_electricity_wolak_mar08-final.pdf</w:t>
        </w:r>
      </w:hyperlink>
      <w:r w:rsidR="00271198">
        <w:rPr>
          <w:lang w:val="en-US"/>
        </w:rPr>
        <w:t xml:space="preserve"> </w:t>
      </w:r>
    </w:p>
    <w:p w:rsidR="00FE394C" w:rsidRDefault="00FE394C" w:rsidP="003C24FA">
      <w:pPr>
        <w:pStyle w:val="List"/>
        <w:spacing w:after="120"/>
        <w:ind w:left="0" w:firstLine="0"/>
      </w:pPr>
    </w:p>
    <w:sectPr w:rsidR="00FE394C" w:rsidSect="0022537A">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9A" w:rsidRDefault="00C6079A" w:rsidP="00D925EB">
      <w:pPr>
        <w:spacing w:after="0" w:line="240" w:lineRule="auto"/>
      </w:pPr>
      <w:r>
        <w:separator/>
      </w:r>
    </w:p>
  </w:endnote>
  <w:endnote w:type="continuationSeparator" w:id="0">
    <w:p w:rsidR="00C6079A" w:rsidRDefault="00C6079A" w:rsidP="00D925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ymbol,Italic">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NimbusRomNo9L-Regu">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libri Light">
    <w:altName w:val="Segoe UI"/>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9A" w:rsidRDefault="00C6079A" w:rsidP="00D925EB">
      <w:pPr>
        <w:spacing w:after="0" w:line="240" w:lineRule="auto"/>
      </w:pPr>
      <w:r>
        <w:separator/>
      </w:r>
    </w:p>
  </w:footnote>
  <w:footnote w:type="continuationSeparator" w:id="0">
    <w:p w:rsidR="00C6079A" w:rsidRDefault="00C6079A" w:rsidP="00D925EB">
      <w:pPr>
        <w:spacing w:after="0" w:line="240" w:lineRule="auto"/>
      </w:pPr>
      <w:r>
        <w:continuationSeparator/>
      </w:r>
    </w:p>
  </w:footnote>
  <w:footnote w:id="1">
    <w:p w:rsidR="00CC6491" w:rsidRDefault="00CC6491">
      <w:pPr>
        <w:pStyle w:val="FootnoteText"/>
      </w:pPr>
      <w:r>
        <w:rPr>
          <w:rStyle w:val="FootnoteReference"/>
        </w:rPr>
        <w:footnoteRef/>
      </w:r>
      <w:r>
        <w:t xml:space="preserve"> See </w:t>
      </w:r>
      <w:proofErr w:type="spellStart"/>
      <w:r>
        <w:t>Arora</w:t>
      </w:r>
      <w:proofErr w:type="spellEnd"/>
      <w:r>
        <w:t xml:space="preserve"> and </w:t>
      </w:r>
      <w:proofErr w:type="spellStart"/>
      <w:proofErr w:type="gramStart"/>
      <w:r>
        <w:t>Cai</w:t>
      </w:r>
      <w:proofErr w:type="spellEnd"/>
      <w:proofErr w:type="gramEnd"/>
      <w:r>
        <w:t xml:space="preserve"> (2014, p. 7). This inaccuracy can arise from the fact that electricity outputs from all technologies are in practice ‘perfectly substitutable’ (and hence can be simply added up), but the (technology bundle) approach assumes that they are imperfectly substitutable to avoid the problem of a corner solution. In practice some bottom-up models (using linear programming techniques) can avoid this problem of a corner solution by relying on the assumption of fixed capacity constraints for all technologies, but this is difficult to implement in an aggregate production function approach.</w:t>
      </w:r>
    </w:p>
  </w:footnote>
  <w:footnote w:id="2">
    <w:p w:rsidR="00CC6491" w:rsidRPr="00537094" w:rsidRDefault="00CC6491" w:rsidP="00470C80">
      <w:pPr>
        <w:pStyle w:val="FootnoteText"/>
      </w:pPr>
      <w:r w:rsidRPr="00537094">
        <w:rPr>
          <w:rStyle w:val="FootnoteReference"/>
        </w:rPr>
        <w:footnoteRef/>
      </w:r>
      <w:r w:rsidRPr="00537094">
        <w:t xml:space="preserve"> </w:t>
      </w:r>
      <w:r>
        <w:t xml:space="preserve">Even if storable, the cost of storing electricity is large hence it is impractical (and expensive) to consider storing electricity as a means to circumvent the production-capacity constraint issue. </w:t>
      </w:r>
      <w:r w:rsidRPr="00537094">
        <w:t xml:space="preserve">In this respect, electricity is </w:t>
      </w:r>
      <w:r>
        <w:t>similar to other ‘services’ (including transport as a service) even though electricity by nature is perhaps more like a ‘commodity’ rather than a service.</w:t>
      </w:r>
    </w:p>
  </w:footnote>
  <w:footnote w:id="3">
    <w:p w:rsidR="00CC6491" w:rsidRDefault="00CC6491" w:rsidP="00844E8B">
      <w:pPr>
        <w:pStyle w:val="FootnoteText"/>
      </w:pPr>
      <w:r>
        <w:rPr>
          <w:rStyle w:val="FootnoteReference"/>
        </w:rPr>
        <w:footnoteRef/>
      </w:r>
      <w:r>
        <w:t xml:space="preserve"> Which consists of a ‘short run marginal cost’ (SRMC) component representing the marginal operating and maintenance (i.e. running) cost and a ‘long run marginal cost’ (LRMC)  component representing the marginal capital (or marginal capacity) cost. </w:t>
      </w:r>
    </w:p>
  </w:footnote>
  <w:footnote w:id="4">
    <w:p w:rsidR="00CC6491" w:rsidRDefault="00CC6491">
      <w:pPr>
        <w:pStyle w:val="FootnoteText"/>
      </w:pPr>
      <w:r>
        <w:rPr>
          <w:rStyle w:val="FootnoteReference"/>
        </w:rPr>
        <w:footnoteRef/>
      </w:r>
      <w:r>
        <w:t xml:space="preserve"> </w:t>
      </w:r>
      <w:proofErr w:type="gramStart"/>
      <w:r>
        <w:t>Which is defined as the ratio of the total time during which electricity can be produced from a renewable electricity plant over the total time period being considered.</w:t>
      </w:r>
      <w:proofErr w:type="gramEnd"/>
    </w:p>
  </w:footnote>
  <w:footnote w:id="5">
    <w:p w:rsidR="00CC6491" w:rsidRDefault="00CC6491" w:rsidP="00582A27">
      <w:pPr>
        <w:pStyle w:val="FootnoteText"/>
      </w:pPr>
      <w:r>
        <w:rPr>
          <w:rStyle w:val="FootnoteReference"/>
        </w:rPr>
        <w:footnoteRef/>
      </w:r>
      <w:r>
        <w:t xml:space="preserve"> By ‘marginal cost’ it is here assumed to include both ‘short </w:t>
      </w:r>
      <w:proofErr w:type="gramStart"/>
      <w:r>
        <w:t>run’(</w:t>
      </w:r>
      <w:proofErr w:type="gramEnd"/>
      <w:r>
        <w:t xml:space="preserve">operating and maintenance) marginal cost as well as long run (capacity or capital) marginal cost. </w:t>
      </w:r>
    </w:p>
  </w:footnote>
  <w:footnote w:id="6">
    <w:p w:rsidR="00CC6491" w:rsidRDefault="00CC6491" w:rsidP="0081167C">
      <w:pPr>
        <w:pStyle w:val="FootnoteText"/>
      </w:pPr>
      <w:r>
        <w:rPr>
          <w:rStyle w:val="FootnoteReference"/>
        </w:rPr>
        <w:footnoteRef/>
      </w:r>
      <w:r>
        <w:t xml:space="preserve"> Constant returns to scale does not require that all production plants must have the same level of costs because quite clearly some plants are more efficient than others depending on their scale. However, it requires that the most efficient scale (also called minimum efficient scale (MES) for a plant) must be much smaller than the size of the market or the level of the demand for which the plant is to serve. This will allow the most efficient production level (and hence the lowest level of average production cost) to be achieved. It can be said that while renewable electricity as well as oil and gas based electricity generation plants can exhibit this property, this may not be the case with coal and nuclear energy based electricity generation plants. The MES for these latter technologies can be significantly large relative to the size of the market or the demand level for which the plants are to be built for. Therefore, at times, with a reduction in production level, the average total cost may increase substantially relative to the most efficient (i.e. minimum) cost.</w:t>
      </w:r>
    </w:p>
  </w:footnote>
  <w:footnote w:id="7">
    <w:p w:rsidR="00CC6491" w:rsidRDefault="00CC6491">
      <w:pPr>
        <w:pStyle w:val="FootnoteText"/>
      </w:pPr>
      <w:r>
        <w:rPr>
          <w:rStyle w:val="FootnoteReference"/>
        </w:rPr>
        <w:footnoteRef/>
      </w:r>
      <w:r>
        <w:t xml:space="preserve"> This assumption can be changed in sensitivity studies. Here we are concerned mainly with the theoretical distinction between CRTS and non-CRTS suppliers, and therefore, leaving the empirical classification of actual technologies into these two types as an empirical issue.</w:t>
      </w:r>
    </w:p>
  </w:footnote>
  <w:footnote w:id="8">
    <w:p w:rsidR="00CC6491" w:rsidRDefault="00CC6491">
      <w:pPr>
        <w:pStyle w:val="FootnoteText"/>
      </w:pPr>
      <w:r>
        <w:rPr>
          <w:rStyle w:val="FootnoteReference"/>
        </w:rPr>
        <w:footnoteRef/>
      </w:r>
      <w:r>
        <w:t xml:space="preserve"> For the case of hydroelectricity generation, even though it can be said that the technology exhibits some degree of scale economies in production, the supply </w:t>
      </w:r>
      <w:proofErr w:type="spellStart"/>
      <w:r>
        <w:t>behaviour</w:t>
      </w:r>
      <w:proofErr w:type="spellEnd"/>
      <w:r>
        <w:t xml:space="preserve"> here may not be </w:t>
      </w:r>
      <w:proofErr w:type="spellStart"/>
      <w:r>
        <w:t>characterised</w:t>
      </w:r>
      <w:proofErr w:type="spellEnd"/>
      <w:r>
        <w:t xml:space="preserve"> as oligopolistic. This can be because these suppliers are mostly state owned or state regulated utilities therefore their </w:t>
      </w:r>
      <w:proofErr w:type="spellStart"/>
      <w:r>
        <w:t>behaviour</w:t>
      </w:r>
      <w:proofErr w:type="spellEnd"/>
      <w:r>
        <w:t xml:space="preserve"> is more likely to price taking rather than price setting. Furthermore, production level in this case is not easily controlled as it depends on the natural environment (amount of water stored) rather than simply on market condition. </w:t>
      </w:r>
    </w:p>
  </w:footnote>
  <w:footnote w:id="9">
    <w:p w:rsidR="00CC6491" w:rsidRDefault="00CC6491" w:rsidP="00EB327A">
      <w:pPr>
        <w:pStyle w:val="FootnoteText"/>
      </w:pPr>
      <w:r>
        <w:rPr>
          <w:rStyle w:val="FootnoteReference"/>
        </w:rPr>
        <w:footnoteRef/>
      </w:r>
      <w:r>
        <w:t xml:space="preserve"> </w:t>
      </w:r>
      <w:r w:rsidRPr="00416735">
        <w:t>Th</w:t>
      </w:r>
      <w:r>
        <w:t>is is the so-called ‘</w:t>
      </w:r>
      <w:r w:rsidRPr="00416735">
        <w:t xml:space="preserve">dominant versus competitive fringe’ </w:t>
      </w:r>
      <w:r>
        <w:t xml:space="preserve">model of </w:t>
      </w:r>
      <w:r w:rsidRPr="00416735">
        <w:t xml:space="preserve">strategic interaction </w:t>
      </w:r>
      <w:r>
        <w:t xml:space="preserve">often used to describe the supply </w:t>
      </w:r>
      <w:proofErr w:type="spellStart"/>
      <w:r>
        <w:t>behaviour</w:t>
      </w:r>
      <w:proofErr w:type="spellEnd"/>
      <w:r>
        <w:t xml:space="preserve"> of electricity producers in the electricity market </w:t>
      </w:r>
      <w:r w:rsidRPr="00416735">
        <w:t xml:space="preserve">(see for example, </w:t>
      </w:r>
      <w:proofErr w:type="spellStart"/>
      <w:r w:rsidRPr="00416735">
        <w:t>Wolak</w:t>
      </w:r>
      <w:proofErr w:type="spellEnd"/>
      <w:r w:rsidRPr="00416735">
        <w:t>, 20</w:t>
      </w:r>
      <w:r>
        <w:t>07</w:t>
      </w:r>
      <w:r w:rsidRPr="00416735">
        <w:t xml:space="preserve">; </w:t>
      </w:r>
      <w:proofErr w:type="spellStart"/>
      <w:r w:rsidRPr="00416735">
        <w:t>Bonacina</w:t>
      </w:r>
      <w:proofErr w:type="spellEnd"/>
      <w:r w:rsidRPr="00416735">
        <w:t xml:space="preserve"> </w:t>
      </w:r>
      <w:r>
        <w:t>&amp;</w:t>
      </w:r>
      <w:r w:rsidRPr="00416735">
        <w:t xml:space="preserve"> </w:t>
      </w:r>
      <w:proofErr w:type="spellStart"/>
      <w:r w:rsidRPr="00416735">
        <w:t>Gulli</w:t>
      </w:r>
      <w:proofErr w:type="spellEnd"/>
      <w:r w:rsidRPr="00416735">
        <w:t>, 2007).</w:t>
      </w:r>
    </w:p>
  </w:footnote>
  <w:footnote w:id="10">
    <w:p w:rsidR="00CC6491" w:rsidRDefault="00CC6491">
      <w:pPr>
        <w:pStyle w:val="FootnoteText"/>
      </w:pPr>
      <w:r>
        <w:rPr>
          <w:rStyle w:val="FootnoteReference"/>
        </w:rPr>
        <w:footnoteRef/>
      </w:r>
      <w:r>
        <w:t xml:space="preserve"> Capital expenditure is assumed to be ‘up-front’ and fixed hence the marginal cost here refers to the short run rather than the long run.</w:t>
      </w:r>
    </w:p>
  </w:footnote>
  <w:footnote w:id="11">
    <w:p w:rsidR="00CC6491" w:rsidRDefault="00CC6491">
      <w:pPr>
        <w:pStyle w:val="FootnoteText"/>
      </w:pPr>
      <w:r>
        <w:rPr>
          <w:rStyle w:val="FootnoteReference"/>
        </w:rPr>
        <w:footnoteRef/>
      </w:r>
      <w:r>
        <w:t xml:space="preserve"> The convention here is that a lower case letter will be used to denote the percentage change or rate of change of an upper case letter.</w:t>
      </w:r>
    </w:p>
  </w:footnote>
  <w:footnote w:id="12">
    <w:p w:rsidR="00CC6491" w:rsidRPr="00AD7477" w:rsidRDefault="00CC6491">
      <w:pPr>
        <w:pStyle w:val="FootnoteText"/>
      </w:pPr>
      <w:r>
        <w:rPr>
          <w:rStyle w:val="FootnoteReference"/>
        </w:rPr>
        <w:footnoteRef/>
      </w:r>
      <w:r>
        <w:t xml:space="preserve"> While the impacts of climate change policies are mainly on the marginal cost of </w:t>
      </w:r>
      <w:r>
        <w:rPr>
          <w:i/>
        </w:rPr>
        <w:t>L</w:t>
      </w:r>
      <w:r>
        <w:t>-group suppliers, the impacts of (renewable) energy policies, on the other hand, are mainly on the marginal costs of the ‘fringe competitors’ (renewable electricity suppliers).</w:t>
      </w:r>
    </w:p>
  </w:footnote>
  <w:footnote w:id="13">
    <w:p w:rsidR="00CC6491" w:rsidRDefault="00CC6491">
      <w:pPr>
        <w:pStyle w:val="FootnoteText"/>
      </w:pPr>
      <w:r>
        <w:rPr>
          <w:rStyle w:val="FootnoteReference"/>
        </w:rPr>
        <w:footnoteRef/>
      </w:r>
      <w:r>
        <w:t xml:space="preserve"> The shares are 28.6%, 11.6%, 25.8%, 24.8% and 0.64% respectively in 2007 (2007 is chosen because this is the base year of the GTAP v8 data base).</w:t>
      </w:r>
    </w:p>
  </w:footnote>
  <w:footnote w:id="14">
    <w:p w:rsidR="00CC6491" w:rsidRDefault="00CC6491">
      <w:pPr>
        <w:pStyle w:val="FootnoteText"/>
      </w:pPr>
      <w:r>
        <w:rPr>
          <w:rStyle w:val="FootnoteReference"/>
        </w:rPr>
        <w:footnoteRef/>
      </w:r>
      <w:r>
        <w:t xml:space="preserve"> However, the emissions levels from CCS technologies are assumed to be 1/10 of the emissions from non-CCS counterparts, see IPCC (2005).</w:t>
      </w:r>
    </w:p>
  </w:footnote>
  <w:footnote w:id="15">
    <w:p w:rsidR="00CC6491" w:rsidRDefault="00CC6491">
      <w:pPr>
        <w:pStyle w:val="FootnoteText"/>
      </w:pPr>
      <w:r>
        <w:rPr>
          <w:rStyle w:val="FootnoteReference"/>
        </w:rPr>
        <w:footnoteRef/>
      </w:r>
      <w:r>
        <w:t xml:space="preserve"> The value of 51% is the estimated fuel-output ratio for oil technology in Japan in 2007 (authors’ own estimation).</w:t>
      </w:r>
    </w:p>
  </w:footnote>
  <w:footnote w:id="16">
    <w:p w:rsidR="00CC6491" w:rsidRDefault="00CC6491">
      <w:pPr>
        <w:pStyle w:val="FootnoteText"/>
      </w:pPr>
      <w:r>
        <w:rPr>
          <w:rStyle w:val="FootnoteReference"/>
        </w:rPr>
        <w:footnoteRef/>
      </w:r>
      <w:r>
        <w:t xml:space="preserve"> </w:t>
      </w:r>
      <w:hyperlink r:id="rId1" w:history="1">
        <w:r w:rsidRPr="00637457">
          <w:rPr>
            <w:rStyle w:val="Hyperlink"/>
          </w:rPr>
          <w:t>http://www.eia.gov/cfapps/ipdbproject/IEDIndex3.cfm?tid=2&amp;pid=2&amp;aid=7</w:t>
        </w:r>
      </w:hyperlink>
      <w:r>
        <w:t>.</w:t>
      </w:r>
    </w:p>
  </w:footnote>
  <w:footnote w:id="17">
    <w:p w:rsidR="00CC6491" w:rsidRDefault="00CC6491">
      <w:pPr>
        <w:pStyle w:val="FootnoteText"/>
      </w:pPr>
      <w:r>
        <w:rPr>
          <w:rStyle w:val="FootnoteReference"/>
        </w:rPr>
        <w:footnoteRef/>
      </w:r>
      <w:r>
        <w:t xml:space="preserve"> In principle, this can also be performed for other regions using the same method as described, but in this study, we concentrate only on the case of Japan.</w:t>
      </w:r>
    </w:p>
  </w:footnote>
  <w:footnote w:id="18">
    <w:p w:rsidR="00CC6491" w:rsidRDefault="00CC6491">
      <w:pPr>
        <w:pStyle w:val="FootnoteText"/>
      </w:pPr>
      <w:r>
        <w:rPr>
          <w:rStyle w:val="FootnoteReference"/>
        </w:rPr>
        <w:footnoteRef/>
      </w:r>
      <w:r>
        <w:t xml:space="preserve"> We use the GTAP-E model (see </w:t>
      </w:r>
      <w:proofErr w:type="spellStart"/>
      <w:r>
        <w:t>Burniaux</w:t>
      </w:r>
      <w:proofErr w:type="spellEnd"/>
      <w:r>
        <w:t xml:space="preserve"> and Truong (2002)) since this is the simplest global model compatible with the GTAP data base and is often used by many CGE modelers to study the impacts of climate and energy policies. We refer to the modified model as JTAP-E2 (standing for Japan GTAP-E with Electricity sector decomposition).</w:t>
      </w:r>
    </w:p>
  </w:footnote>
  <w:footnote w:id="19">
    <w:p w:rsidR="00CC6491" w:rsidRDefault="00CC6491" w:rsidP="00722642">
      <w:pPr>
        <w:pStyle w:val="FootnoteText"/>
      </w:pPr>
      <w:r>
        <w:rPr>
          <w:rStyle w:val="FootnoteReference"/>
        </w:rPr>
        <w:footnoteRef/>
      </w:r>
      <w:r>
        <w:t xml:space="preserve"> In Sue Wing (2008) natural resources are assumed to take up to 20-30% of the value of the capital input in some technologies such as nuclear hydro and other renewable technologies. These ‘fixed-factor’ inputs are taken from the value of capital in the GTAP data base, and the value of capital inputs are adjusted accordingly. In our approach, rather than arbitrarily assigning a proportion of the capital input to this ‘fixed factor’ (to control their supply) we incorporate the limited supply of these resources via the specification of the supply elasticities of these technologies, which are to be estimated from GIS information.</w:t>
      </w:r>
    </w:p>
  </w:footnote>
  <w:footnote w:id="20">
    <w:p w:rsidR="00CC6491" w:rsidRPr="0056572A" w:rsidRDefault="00CC6491">
      <w:pPr>
        <w:pStyle w:val="FootnoteText"/>
        <w:rPr>
          <w:lang w:val="de-DE"/>
        </w:rPr>
      </w:pPr>
      <w:r>
        <w:rPr>
          <w:rStyle w:val="FootnoteReference"/>
        </w:rPr>
        <w:footnoteRef/>
      </w:r>
      <w:r>
        <w:t xml:space="preserve"> Note that </w:t>
      </w:r>
      <w:r w:rsidRPr="009D1C66">
        <w:rPr>
          <w:position w:val="-10"/>
        </w:rPr>
        <w:object w:dxaOrig="560" w:dyaOrig="340">
          <v:shape id="_x0000_i1079" type="#_x0000_t75" style="width:27.75pt;height:17.25pt" o:ole="">
            <v:imagedata r:id="rId2" o:title=""/>
          </v:shape>
          <o:OLEObject Type="Embed" ProgID="Equation.3" ShapeID="_x0000_i1079" DrawAspect="Content" ObjectID="_1471069919" r:id="rId3"/>
        </w:object>
      </w:r>
      <w:r>
        <w:t xml:space="preserve"> and </w:t>
      </w:r>
      <w:r w:rsidRPr="009D1C66">
        <w:rPr>
          <w:position w:val="-16"/>
        </w:rPr>
        <w:object w:dxaOrig="900" w:dyaOrig="400">
          <v:shape id="_x0000_i1073" type="#_x0000_t75" style="width:45pt;height:20.25pt" o:ole="">
            <v:imagedata r:id="rId4" o:title=""/>
          </v:shape>
          <o:OLEObject Type="Embed" ProgID="Equation.3" ShapeID="_x0000_i1073" DrawAspect="Content" ObjectID="_1471069920" r:id="rId5"/>
        </w:object>
      </w:r>
      <w:r>
        <w:t xml:space="preserve"> this means that since </w:t>
      </w:r>
      <w:r w:rsidRPr="009D1C66">
        <w:rPr>
          <w:position w:val="-10"/>
          <w:lang w:val="de-DE"/>
        </w:rPr>
        <w:object w:dxaOrig="560" w:dyaOrig="300">
          <v:shape id="_x0000_i1078" type="#_x0000_t75" style="width:30.75pt;height:16.5pt" o:ole="">
            <v:imagedata r:id="rId6" o:title=""/>
          </v:shape>
          <o:OLEObject Type="Embed" ProgID="Equation.3" ShapeID="_x0000_i1078" DrawAspect="Content" ObjectID="_1471069921" r:id="rId7"/>
        </w:object>
      </w:r>
      <w:r>
        <w:rPr>
          <w:lang w:val="de-DE"/>
        </w:rPr>
        <w:t xml:space="preserve">for </w:t>
      </w:r>
      <w:r w:rsidRPr="009D1C66">
        <w:rPr>
          <w:position w:val="-6"/>
          <w:lang w:val="de-DE"/>
        </w:rPr>
        <w:object w:dxaOrig="279" w:dyaOrig="240">
          <v:shape id="_x0000_i1074" type="#_x0000_t75" style="width:15.75pt;height:13.5pt" o:ole="">
            <v:imagedata r:id="rId8" o:title=""/>
          </v:shape>
          <o:OLEObject Type="Embed" ProgID="Equation.3" ShapeID="_x0000_i1074" DrawAspect="Content" ObjectID="_1471069922" r:id="rId9"/>
        </w:object>
      </w:r>
      <w:r>
        <w:rPr>
          <w:lang w:val="de-DE"/>
        </w:rPr>
        <w:t xml:space="preserve">therefore </w:t>
      </w:r>
      <w:r w:rsidRPr="009D1C66">
        <w:rPr>
          <w:position w:val="-10"/>
          <w:lang w:val="de-DE"/>
        </w:rPr>
        <w:object w:dxaOrig="580" w:dyaOrig="300">
          <v:shape id="_x0000_i1075" type="#_x0000_t75" style="width:32.25pt;height:16.5pt" o:ole="">
            <v:imagedata r:id="rId10" o:title=""/>
          </v:shape>
          <o:OLEObject Type="Embed" ProgID="Equation.3" ShapeID="_x0000_i1075" DrawAspect="Content" ObjectID="_1471069923" r:id="rId11"/>
        </w:object>
      </w:r>
      <w:r>
        <w:rPr>
          <w:lang w:val="de-DE"/>
        </w:rPr>
        <w:t xml:space="preserve">and </w:t>
      </w:r>
      <w:r w:rsidRPr="009D1C66">
        <w:rPr>
          <w:position w:val="-14"/>
          <w:lang w:val="de-DE"/>
        </w:rPr>
        <w:object w:dxaOrig="580" w:dyaOrig="340">
          <v:shape id="_x0000_i1076" type="#_x0000_t75" style="width:32.25pt;height:18.75pt" o:ole="">
            <v:imagedata r:id="rId12" o:title=""/>
          </v:shape>
          <o:OLEObject Type="Embed" ProgID="Equation.3" ShapeID="_x0000_i1076" DrawAspect="Content" ObjectID="_1471069924" r:id="rId13"/>
        </w:object>
      </w:r>
      <w:r>
        <w:rPr>
          <w:lang w:val="de-DE"/>
        </w:rPr>
        <w:t xml:space="preserve">for </w:t>
      </w:r>
      <w:r w:rsidRPr="009D1C66">
        <w:rPr>
          <w:position w:val="-10"/>
          <w:lang w:val="de-DE"/>
        </w:rPr>
        <w:object w:dxaOrig="480" w:dyaOrig="279">
          <v:shape id="_x0000_i1077" type="#_x0000_t75" style="width:26.25pt;height:15pt" o:ole="">
            <v:imagedata r:id="rId14" o:title=""/>
          </v:shape>
          <o:OLEObject Type="Embed" ProgID="Equation.3" ShapeID="_x0000_i1077" DrawAspect="Content" ObjectID="_1471069925" r:id="rId15"/>
        </w:object>
      </w:r>
    </w:p>
  </w:footnote>
  <w:footnote w:id="21">
    <w:p w:rsidR="00CC6491" w:rsidRDefault="00CC6491" w:rsidP="00A55E6F">
      <w:pPr>
        <w:pStyle w:val="FootnoteText"/>
      </w:pPr>
      <w:r>
        <w:rPr>
          <w:rStyle w:val="FootnoteReference"/>
        </w:rPr>
        <w:footnoteRef/>
      </w:r>
      <w:r>
        <w:t xml:space="preserve"> The cross-price elasticities are not symmetric because</w:t>
      </w:r>
      <w:r w:rsidRPr="009D1C66">
        <w:rPr>
          <w:position w:val="-14"/>
          <w:lang w:val="de-DE"/>
        </w:rPr>
        <w:object w:dxaOrig="2000" w:dyaOrig="380">
          <v:shape id="_x0000_i1080" type="#_x0000_t75" style="width:111pt;height:21pt" o:ole="">
            <v:imagedata r:id="rId16" o:title=""/>
          </v:shape>
          <o:OLEObject Type="Embed" ProgID="Equation.3" ShapeID="_x0000_i1080" DrawAspect="Content" ObjectID="_1471069926" r:id="rId17"/>
        </w:object>
      </w:r>
      <w:r>
        <w:rPr>
          <w:lang w:val="de-DE"/>
        </w:rPr>
        <w:t xml:space="preserve">. </w:t>
      </w:r>
      <w:r>
        <w:rPr>
          <w:lang w:val="de-DE"/>
        </w:rPr>
        <w:t xml:space="preserve">However, if we replace </w:t>
      </w:r>
      <w:r w:rsidRPr="004E029E">
        <w:rPr>
          <w:position w:val="-10"/>
          <w:lang w:val="de-DE"/>
        </w:rPr>
        <w:object w:dxaOrig="260" w:dyaOrig="300">
          <v:shape id="_x0000_i1081" type="#_x0000_t75" style="width:14.25pt;height:16.5pt" o:ole="">
            <v:imagedata r:id="rId18" o:title=""/>
          </v:shape>
          <o:OLEObject Type="Embed" ProgID="Equation.3" ShapeID="_x0000_i1081" DrawAspect="Content" ObjectID="_1471069927" r:id="rId19"/>
        </w:object>
      </w:r>
      <w:r>
        <w:rPr>
          <w:lang w:val="de-DE"/>
        </w:rPr>
        <w:t xml:space="preserve">with </w:t>
      </w:r>
      <w:r w:rsidRPr="004E029E">
        <w:rPr>
          <w:position w:val="-10"/>
          <w:lang w:val="de-DE"/>
        </w:rPr>
        <w:object w:dxaOrig="999" w:dyaOrig="340">
          <v:shape id="_x0000_i1082" type="#_x0000_t75" style="width:55.5pt;height:18.75pt" o:ole="">
            <v:imagedata r:id="rId20" o:title=""/>
          </v:shape>
          <o:OLEObject Type="Embed" ProgID="Equation.3" ShapeID="_x0000_i1082" DrawAspect="Content" ObjectID="_1471069928" r:id="rId21"/>
        </w:object>
      </w:r>
      <w:r>
        <w:rPr>
          <w:lang w:val="de-DE"/>
        </w:rPr>
        <w:t>and</w:t>
      </w:r>
      <w:r w:rsidRPr="00167D0F">
        <w:rPr>
          <w:position w:val="-14"/>
          <w:lang w:val="de-DE"/>
        </w:rPr>
        <w:object w:dxaOrig="700" w:dyaOrig="340">
          <v:shape id="_x0000_i1085" type="#_x0000_t75" style="width:39pt;height:18.75pt" o:ole="">
            <v:imagedata r:id="rId22" o:title=""/>
          </v:shape>
          <o:OLEObject Type="Embed" ProgID="Equation.3" ShapeID="_x0000_i1085" DrawAspect="Content" ObjectID="_1471069929" r:id="rId23"/>
        </w:object>
      </w:r>
      <w:r>
        <w:rPr>
          <w:lang w:val="de-DE"/>
        </w:rPr>
        <w:t xml:space="preserve">with </w:t>
      </w:r>
      <w:r w:rsidRPr="009D1C66">
        <w:rPr>
          <w:position w:val="-14"/>
          <w:lang w:val="de-DE"/>
        </w:rPr>
        <w:object w:dxaOrig="700" w:dyaOrig="380">
          <v:shape id="_x0000_i1084" type="#_x0000_t75" style="width:39pt;height:21pt" o:ole="">
            <v:imagedata r:id="rId24" o:title=""/>
          </v:shape>
          <o:OLEObject Type="Embed" ProgID="Equation.3" ShapeID="_x0000_i1084" DrawAspect="Content" ObjectID="_1471069930" r:id="rId25"/>
        </w:object>
      </w:r>
      <w:r>
        <w:rPr>
          <w:lang w:val="de-DE"/>
        </w:rPr>
        <w:t xml:space="preserve">where </w:t>
      </w:r>
      <w:r w:rsidRPr="009D1C66">
        <w:rPr>
          <w:position w:val="-14"/>
          <w:lang w:val="de-DE"/>
        </w:rPr>
        <w:object w:dxaOrig="1680" w:dyaOrig="380">
          <v:shape id="_x0000_i1083" type="#_x0000_t75" style="width:93pt;height:21pt" o:ole="">
            <v:imagedata r:id="rId26" o:title=""/>
          </v:shape>
          <o:OLEObject Type="Embed" ProgID="Equation.3" ShapeID="_x0000_i1083" DrawAspect="Content" ObjectID="_1471069931" r:id="rId27"/>
        </w:object>
      </w:r>
      <w:r>
        <w:rPr>
          <w:lang w:val="de-DE"/>
        </w:rPr>
        <w:t xml:space="preserve">then equation (14) will be symmetric with respect to the (calibrated) </w:t>
      </w:r>
      <w:r w:rsidRPr="009D1C66">
        <w:rPr>
          <w:position w:val="-14"/>
          <w:lang w:val="de-DE"/>
        </w:rPr>
        <w:object w:dxaOrig="260" w:dyaOrig="380">
          <v:shape id="_x0000_i1086" type="#_x0000_t75" style="width:14.25pt;height:21pt" o:ole="">
            <v:imagedata r:id="rId28" o:title=""/>
          </v:shape>
          <o:OLEObject Type="Embed" ProgID="Equation.3" ShapeID="_x0000_i1086" DrawAspect="Content" ObjectID="_1471069932" r:id="rId29"/>
        </w:object>
      </w:r>
      <w:r>
        <w:rPr>
          <w:lang w:val="de-DE"/>
        </w:rPr>
        <w:t xml:space="preserve">. The values of </w:t>
      </w:r>
      <w:r w:rsidRPr="004E029E">
        <w:rPr>
          <w:position w:val="-10"/>
          <w:lang w:val="de-DE"/>
        </w:rPr>
        <w:object w:dxaOrig="279" w:dyaOrig="340">
          <v:shape id="_x0000_i1087" type="#_x0000_t75" style="width:15.75pt;height:18.75pt" o:ole="">
            <v:imagedata r:id="rId30" o:title=""/>
          </v:shape>
          <o:OLEObject Type="Embed" ProgID="Equation.3" ShapeID="_x0000_i1087" DrawAspect="Content" ObjectID="_1471069933" r:id="rId31"/>
        </w:object>
      </w:r>
      <w:r>
        <w:rPr>
          <w:lang w:val="de-DE"/>
        </w:rPr>
        <w:t xml:space="preserve">and </w:t>
      </w:r>
      <w:r w:rsidRPr="004E029E">
        <w:rPr>
          <w:position w:val="-10"/>
          <w:lang w:val="de-DE"/>
        </w:rPr>
        <w:object w:dxaOrig="260" w:dyaOrig="340">
          <v:shape id="_x0000_i1088" type="#_x0000_t75" style="width:14.25pt;height:18.75pt" o:ole="">
            <v:imagedata r:id="rId32" o:title=""/>
          </v:shape>
          <o:OLEObject Type="Embed" ProgID="Equation.3" ShapeID="_x0000_i1088" DrawAspect="Content" ObjectID="_1471069934" r:id="rId33"/>
        </w:object>
      </w:r>
      <w:r>
        <w:rPr>
          <w:lang w:val="de-DE"/>
        </w:rPr>
        <w:t>can then be calculated from calibrated own and (symmetric) cross-price elasticities.</w:t>
      </w:r>
    </w:p>
    <w:p w:rsidR="00CC6491" w:rsidRDefault="00CC6491" w:rsidP="00A55E6F">
      <w:pPr>
        <w:pStyle w:val="FootnoteText"/>
      </w:pPr>
    </w:p>
  </w:footnote>
  <w:footnote w:id="22">
    <w:p w:rsidR="00CC6491" w:rsidRDefault="00CC6491" w:rsidP="004D7D30">
      <w:pPr>
        <w:pStyle w:val="FootnoteText"/>
      </w:pPr>
      <w:r>
        <w:rPr>
          <w:rStyle w:val="FootnoteReference"/>
        </w:rPr>
        <w:footnoteRef/>
      </w:r>
      <w:r>
        <w:t xml:space="preserve"> These values are given in </w:t>
      </w:r>
      <w:proofErr w:type="spellStart"/>
      <w:r>
        <w:t>Arora</w:t>
      </w:r>
      <w:proofErr w:type="spellEnd"/>
      <w:r>
        <w:t xml:space="preserve"> and </w:t>
      </w:r>
      <w:proofErr w:type="spellStart"/>
      <w:proofErr w:type="gramStart"/>
      <w:r>
        <w:t>Cai</w:t>
      </w:r>
      <w:proofErr w:type="spellEnd"/>
      <w:proofErr w:type="gramEnd"/>
      <w:r>
        <w:t xml:space="preserve"> (2014) for the case of the US which can be assumed to apply also to Japan. In the future, however, empirical values relevant to Japan will need to be used.</w:t>
      </w:r>
    </w:p>
  </w:footnote>
  <w:footnote w:id="23">
    <w:p w:rsidR="00CC6491" w:rsidRDefault="00CC6491">
      <w:pPr>
        <w:pStyle w:val="FootnoteText"/>
      </w:pPr>
      <w:r>
        <w:rPr>
          <w:rStyle w:val="FootnoteReference"/>
        </w:rPr>
        <w:footnoteRef/>
      </w:r>
      <w:r>
        <w:t xml:space="preserve"> Also following from </w:t>
      </w:r>
      <w:proofErr w:type="spellStart"/>
      <w:r>
        <w:t>Arora</w:t>
      </w:r>
      <w:proofErr w:type="spellEnd"/>
      <w:r>
        <w:t xml:space="preserve"> and </w:t>
      </w:r>
      <w:proofErr w:type="spellStart"/>
      <w:proofErr w:type="gramStart"/>
      <w:r>
        <w:t>Cai</w:t>
      </w:r>
      <w:proofErr w:type="spellEnd"/>
      <w:proofErr w:type="gramEnd"/>
      <w:r>
        <w:t xml:space="preserve"> (2014), the CES substitution elasticities within the </w:t>
      </w:r>
      <w:proofErr w:type="spellStart"/>
      <w:r>
        <w:t>Coatec</w:t>
      </w:r>
      <w:proofErr w:type="spellEnd"/>
      <w:r>
        <w:t xml:space="preserve">, </w:t>
      </w:r>
      <w:proofErr w:type="spellStart"/>
      <w:r>
        <w:t>Oiltec</w:t>
      </w:r>
      <w:proofErr w:type="spellEnd"/>
      <w:r>
        <w:t>, and Gastec branches are assumed to be equal to 5, 5, and 10 respectively.</w:t>
      </w:r>
    </w:p>
  </w:footnote>
  <w:footnote w:id="24">
    <w:p w:rsidR="00CC6491" w:rsidRDefault="00CC6491" w:rsidP="00405CF8">
      <w:pPr>
        <w:pStyle w:val="FootnoteText"/>
      </w:pPr>
      <w:r>
        <w:rPr>
          <w:rStyle w:val="FootnoteReference"/>
        </w:rPr>
        <w:footnoteRef/>
      </w:r>
      <w:r>
        <w:t xml:space="preserve"> </w:t>
      </w:r>
      <w:proofErr w:type="spellStart"/>
      <w:r>
        <w:t>Arora</w:t>
      </w:r>
      <w:proofErr w:type="spellEnd"/>
      <w:r>
        <w:t xml:space="preserve"> and </w:t>
      </w:r>
      <w:proofErr w:type="spellStart"/>
      <w:proofErr w:type="gramStart"/>
      <w:r>
        <w:t>Cai</w:t>
      </w:r>
      <w:proofErr w:type="spellEnd"/>
      <w:proofErr w:type="gramEnd"/>
      <w:r>
        <w:t xml:space="preserve"> (2014) also follow the same procedure. For example, assume that </w:t>
      </w:r>
      <w:r w:rsidRPr="00D94394">
        <w:rPr>
          <w:position w:val="-10"/>
        </w:rPr>
        <w:object w:dxaOrig="260" w:dyaOrig="300">
          <v:shape id="_x0000_i1072" type="#_x0000_t75" style="width:13.5pt;height:15pt" o:ole="">
            <v:imagedata r:id="rId34" o:title=""/>
          </v:shape>
          <o:OLEObject Type="Embed" ProgID="Equation.3" ShapeID="_x0000_i1072" DrawAspect="Content" ObjectID="_1471069935" r:id="rId35"/>
        </w:object>
      </w:r>
      <w:r>
        <w:t>=2.7 for the case of carbon-free technologies, and it is stated that this is consistent with a value of own price elasticities of 2.6 as estimated by Johnson (2014). However, it should be noted that Johnson’s elasticity estimates are for s</w:t>
      </w:r>
      <w:r>
        <w:rPr>
          <w:i/>
        </w:rPr>
        <w:t xml:space="preserve">upply </w:t>
      </w:r>
      <w:r>
        <w:t>rather than demand.</w:t>
      </w:r>
    </w:p>
  </w:footnote>
  <w:footnote w:id="25">
    <w:p w:rsidR="00CC6491" w:rsidRDefault="00CC6491">
      <w:pPr>
        <w:pStyle w:val="FootnoteText"/>
      </w:pPr>
      <w:r>
        <w:rPr>
          <w:rStyle w:val="FootnoteReference"/>
        </w:rPr>
        <w:footnoteRef/>
      </w:r>
      <w:r>
        <w:t xml:space="preserve"> Since CRESH requires quantity adjustment to ensure the sum of all technology production is equal to the sector output, we present two cases: one </w:t>
      </w:r>
      <w:r>
        <w:rPr>
          <w:i/>
        </w:rPr>
        <w:t>with</w:t>
      </w:r>
      <w:r>
        <w:t xml:space="preserve"> and one </w:t>
      </w:r>
      <w:r>
        <w:rPr>
          <w:i/>
        </w:rPr>
        <w:t xml:space="preserve">without </w:t>
      </w:r>
      <w:r>
        <w:t>this quantity adjustment, labeled CRESH (a) and CRESH (b) respectively.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03236"/>
    <w:multiLevelType w:val="multilevel"/>
    <w:tmpl w:val="D3AADBB2"/>
    <w:lvl w:ilvl="0">
      <w:start w:val="1"/>
      <w:numFmt w:val="decimal"/>
      <w:lvlText w:val="%1."/>
      <w:lvlJc w:val="left"/>
      <w:pPr>
        <w:ind w:left="360" w:hanging="360"/>
      </w:pPr>
      <w:rPr>
        <w:rFonts w:cs="Times New Roman" w:hint="default"/>
        <w:b w:val="0"/>
        <w:bCs w:val="0"/>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nsid w:val="091638B5"/>
    <w:multiLevelType w:val="multilevel"/>
    <w:tmpl w:val="DEB45D2E"/>
    <w:lvl w:ilvl="0">
      <w:start w:val="5"/>
      <w:numFmt w:val="decimal"/>
      <w:lvlText w:val="%1."/>
      <w:lvlJc w:val="left"/>
      <w:pPr>
        <w:ind w:left="540" w:hanging="540"/>
      </w:pPr>
      <w:rPr>
        <w:rFonts w:cs="Times New Roman" w:hint="default"/>
        <w:b w:val="0"/>
        <w:bCs w:val="0"/>
      </w:rPr>
    </w:lvl>
    <w:lvl w:ilvl="1">
      <w:start w:val="1"/>
      <w:numFmt w:val="decimal"/>
      <w:lvlText w:val="%1.%2."/>
      <w:lvlJc w:val="left"/>
      <w:pPr>
        <w:ind w:left="720" w:hanging="540"/>
      </w:pPr>
      <w:rPr>
        <w:rFonts w:cs="Times New Roman" w:hint="default"/>
        <w:b w:val="0"/>
        <w:bCs w:val="0"/>
      </w:rPr>
    </w:lvl>
    <w:lvl w:ilvl="2">
      <w:start w:val="2"/>
      <w:numFmt w:val="decimal"/>
      <w:lvlText w:val="%1.%2.%3."/>
      <w:lvlJc w:val="left"/>
      <w:pPr>
        <w:ind w:left="1080" w:hanging="720"/>
      </w:pPr>
      <w:rPr>
        <w:rFonts w:cs="Times New Roman" w:hint="default"/>
        <w:b/>
        <w:bCs/>
      </w:rPr>
    </w:lvl>
    <w:lvl w:ilvl="3">
      <w:start w:val="1"/>
      <w:numFmt w:val="decimal"/>
      <w:lvlText w:val="%1.%2.%3.%4."/>
      <w:lvlJc w:val="left"/>
      <w:pPr>
        <w:ind w:left="1260" w:hanging="720"/>
      </w:pPr>
      <w:rPr>
        <w:rFonts w:cs="Times New Roman" w:hint="default"/>
        <w:b w:val="0"/>
        <w:bCs w:val="0"/>
      </w:rPr>
    </w:lvl>
    <w:lvl w:ilvl="4">
      <w:start w:val="1"/>
      <w:numFmt w:val="decimal"/>
      <w:lvlText w:val="%1.%2.%3.%4.%5."/>
      <w:lvlJc w:val="left"/>
      <w:pPr>
        <w:ind w:left="1800" w:hanging="1080"/>
      </w:pPr>
      <w:rPr>
        <w:rFonts w:cs="Times New Roman" w:hint="default"/>
        <w:b w:val="0"/>
        <w:bCs w:val="0"/>
      </w:rPr>
    </w:lvl>
    <w:lvl w:ilvl="5">
      <w:start w:val="1"/>
      <w:numFmt w:val="decimal"/>
      <w:lvlText w:val="%1.%2.%3.%4.%5.%6."/>
      <w:lvlJc w:val="left"/>
      <w:pPr>
        <w:ind w:left="1980" w:hanging="1080"/>
      </w:pPr>
      <w:rPr>
        <w:rFonts w:cs="Times New Roman" w:hint="default"/>
        <w:b w:val="0"/>
        <w:bCs w:val="0"/>
      </w:rPr>
    </w:lvl>
    <w:lvl w:ilvl="6">
      <w:start w:val="1"/>
      <w:numFmt w:val="decimal"/>
      <w:lvlText w:val="%1.%2.%3.%4.%5.%6.%7."/>
      <w:lvlJc w:val="left"/>
      <w:pPr>
        <w:ind w:left="2520" w:hanging="1440"/>
      </w:pPr>
      <w:rPr>
        <w:rFonts w:cs="Times New Roman" w:hint="default"/>
        <w:b w:val="0"/>
        <w:bCs w:val="0"/>
      </w:rPr>
    </w:lvl>
    <w:lvl w:ilvl="7">
      <w:start w:val="1"/>
      <w:numFmt w:val="decimal"/>
      <w:lvlText w:val="%1.%2.%3.%4.%5.%6.%7.%8."/>
      <w:lvlJc w:val="left"/>
      <w:pPr>
        <w:ind w:left="2700" w:hanging="1440"/>
      </w:pPr>
      <w:rPr>
        <w:rFonts w:cs="Times New Roman" w:hint="default"/>
        <w:b w:val="0"/>
        <w:bCs w:val="0"/>
      </w:rPr>
    </w:lvl>
    <w:lvl w:ilvl="8">
      <w:start w:val="1"/>
      <w:numFmt w:val="decimal"/>
      <w:lvlText w:val="%1.%2.%3.%4.%5.%6.%7.%8.%9."/>
      <w:lvlJc w:val="left"/>
      <w:pPr>
        <w:ind w:left="3240" w:hanging="1800"/>
      </w:pPr>
      <w:rPr>
        <w:rFonts w:cs="Times New Roman" w:hint="default"/>
        <w:b w:val="0"/>
        <w:bCs w:val="0"/>
      </w:rPr>
    </w:lvl>
  </w:abstractNum>
  <w:abstractNum w:abstractNumId="2">
    <w:nsid w:val="165B4BC3"/>
    <w:multiLevelType w:val="hybridMultilevel"/>
    <w:tmpl w:val="820CAD8A"/>
    <w:lvl w:ilvl="0" w:tplc="0409001B">
      <w:start w:val="1"/>
      <w:numFmt w:val="lowerRoman"/>
      <w:lvlText w:val="%1."/>
      <w:lvlJc w:val="righ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3">
    <w:nsid w:val="22374BDC"/>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nsid w:val="22AC67FE"/>
    <w:multiLevelType w:val="hybridMultilevel"/>
    <w:tmpl w:val="39667FB4"/>
    <w:lvl w:ilvl="0" w:tplc="B9520F06">
      <w:start w:val="6"/>
      <w:numFmt w:val="decimal"/>
      <w:lvlText w:val="%1"/>
      <w:lvlJc w:val="left"/>
      <w:pPr>
        <w:ind w:left="360" w:hanging="360"/>
      </w:pPr>
      <w:rPr>
        <w:rFonts w:cs="Times New Roman" w:hint="default"/>
        <w:b/>
        <w:bCs/>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5">
    <w:nsid w:val="24406862"/>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2823134A"/>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39912930"/>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nsid w:val="406A5B15"/>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9">
    <w:nsid w:val="43892B8A"/>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nsid w:val="456E4094"/>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49F16614"/>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nsid w:val="4D160B6F"/>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56C93086"/>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nsid w:val="57B62CBA"/>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641F3619"/>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nsid w:val="64874D53"/>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7AA2777A"/>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7C4A0569"/>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7C7C6201"/>
    <w:multiLevelType w:val="multilevel"/>
    <w:tmpl w:val="D3AADBB2"/>
    <w:lvl w:ilvl="0">
      <w:start w:val="1"/>
      <w:numFmt w:val="decimal"/>
      <w:lvlText w:val="%1."/>
      <w:lvlJc w:val="left"/>
      <w:pPr>
        <w:ind w:left="720" w:hanging="360"/>
      </w:pPr>
      <w:rPr>
        <w:rFonts w:cs="Times New Roman" w:hint="default"/>
        <w:b w:val="0"/>
        <w:bCs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8"/>
  </w:num>
  <w:num w:numId="2">
    <w:abstractNumId w:val="15"/>
  </w:num>
  <w:num w:numId="3">
    <w:abstractNumId w:val="7"/>
  </w:num>
  <w:num w:numId="4">
    <w:abstractNumId w:val="0"/>
  </w:num>
  <w:num w:numId="5">
    <w:abstractNumId w:val="1"/>
  </w:num>
  <w:num w:numId="6">
    <w:abstractNumId w:val="4"/>
  </w:num>
  <w:num w:numId="7">
    <w:abstractNumId w:val="11"/>
  </w:num>
  <w:num w:numId="8">
    <w:abstractNumId w:val="10"/>
  </w:num>
  <w:num w:numId="9">
    <w:abstractNumId w:val="12"/>
  </w:num>
  <w:num w:numId="10">
    <w:abstractNumId w:val="17"/>
  </w:num>
  <w:num w:numId="11">
    <w:abstractNumId w:val="9"/>
  </w:num>
  <w:num w:numId="12">
    <w:abstractNumId w:val="13"/>
  </w:num>
  <w:num w:numId="13">
    <w:abstractNumId w:val="19"/>
  </w:num>
  <w:num w:numId="14">
    <w:abstractNumId w:val="6"/>
  </w:num>
  <w:num w:numId="15">
    <w:abstractNumId w:val="3"/>
  </w:num>
  <w:num w:numId="16">
    <w:abstractNumId w:val="14"/>
  </w:num>
  <w:num w:numId="17">
    <w:abstractNumId w:val="16"/>
  </w:num>
  <w:num w:numId="18">
    <w:abstractNumId w:val="8"/>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D925EB"/>
    <w:rsid w:val="0000228F"/>
    <w:rsid w:val="00002C3D"/>
    <w:rsid w:val="00003033"/>
    <w:rsid w:val="00004454"/>
    <w:rsid w:val="00004888"/>
    <w:rsid w:val="00004BD2"/>
    <w:rsid w:val="00005044"/>
    <w:rsid w:val="00006309"/>
    <w:rsid w:val="000076E1"/>
    <w:rsid w:val="00010353"/>
    <w:rsid w:val="00010642"/>
    <w:rsid w:val="00010B9B"/>
    <w:rsid w:val="00010BA5"/>
    <w:rsid w:val="000124ED"/>
    <w:rsid w:val="00013412"/>
    <w:rsid w:val="000152E2"/>
    <w:rsid w:val="000155A4"/>
    <w:rsid w:val="00017A4A"/>
    <w:rsid w:val="00020FD1"/>
    <w:rsid w:val="00021523"/>
    <w:rsid w:val="00022125"/>
    <w:rsid w:val="000222C3"/>
    <w:rsid w:val="00022DC7"/>
    <w:rsid w:val="000232FF"/>
    <w:rsid w:val="00024637"/>
    <w:rsid w:val="00025295"/>
    <w:rsid w:val="00030797"/>
    <w:rsid w:val="000307D8"/>
    <w:rsid w:val="00031FAB"/>
    <w:rsid w:val="000327F6"/>
    <w:rsid w:val="0003357D"/>
    <w:rsid w:val="000340A9"/>
    <w:rsid w:val="000347D9"/>
    <w:rsid w:val="00034F19"/>
    <w:rsid w:val="00034F3D"/>
    <w:rsid w:val="000352CA"/>
    <w:rsid w:val="00035F88"/>
    <w:rsid w:val="000371B7"/>
    <w:rsid w:val="0003790A"/>
    <w:rsid w:val="000404DC"/>
    <w:rsid w:val="00040A2B"/>
    <w:rsid w:val="000422BE"/>
    <w:rsid w:val="000424C9"/>
    <w:rsid w:val="00042648"/>
    <w:rsid w:val="00042BD5"/>
    <w:rsid w:val="0004319A"/>
    <w:rsid w:val="00043342"/>
    <w:rsid w:val="00043D49"/>
    <w:rsid w:val="00043EA6"/>
    <w:rsid w:val="00044F4D"/>
    <w:rsid w:val="00045889"/>
    <w:rsid w:val="00046412"/>
    <w:rsid w:val="00046F35"/>
    <w:rsid w:val="00051534"/>
    <w:rsid w:val="00051DF8"/>
    <w:rsid w:val="0005387A"/>
    <w:rsid w:val="00054898"/>
    <w:rsid w:val="000560F3"/>
    <w:rsid w:val="00056397"/>
    <w:rsid w:val="00056BFB"/>
    <w:rsid w:val="00056E93"/>
    <w:rsid w:val="000571B5"/>
    <w:rsid w:val="000575A8"/>
    <w:rsid w:val="00057C5D"/>
    <w:rsid w:val="00057E87"/>
    <w:rsid w:val="000605B5"/>
    <w:rsid w:val="00060D32"/>
    <w:rsid w:val="000612B9"/>
    <w:rsid w:val="00062D60"/>
    <w:rsid w:val="00063A86"/>
    <w:rsid w:val="000644E9"/>
    <w:rsid w:val="000700CA"/>
    <w:rsid w:val="000701F5"/>
    <w:rsid w:val="00072FB8"/>
    <w:rsid w:val="000742E8"/>
    <w:rsid w:val="000745D1"/>
    <w:rsid w:val="00076404"/>
    <w:rsid w:val="00076898"/>
    <w:rsid w:val="00077805"/>
    <w:rsid w:val="000779D8"/>
    <w:rsid w:val="00080628"/>
    <w:rsid w:val="00080749"/>
    <w:rsid w:val="000809BB"/>
    <w:rsid w:val="000823FD"/>
    <w:rsid w:val="00083739"/>
    <w:rsid w:val="00084F69"/>
    <w:rsid w:val="000850C0"/>
    <w:rsid w:val="0008764D"/>
    <w:rsid w:val="000903BD"/>
    <w:rsid w:val="00090DD7"/>
    <w:rsid w:val="0009125A"/>
    <w:rsid w:val="00092219"/>
    <w:rsid w:val="00092673"/>
    <w:rsid w:val="000948CD"/>
    <w:rsid w:val="000949EA"/>
    <w:rsid w:val="00095988"/>
    <w:rsid w:val="00096537"/>
    <w:rsid w:val="000978A4"/>
    <w:rsid w:val="000A0AC0"/>
    <w:rsid w:val="000A1483"/>
    <w:rsid w:val="000A1D91"/>
    <w:rsid w:val="000A1E49"/>
    <w:rsid w:val="000A1F73"/>
    <w:rsid w:val="000A2C33"/>
    <w:rsid w:val="000A33F9"/>
    <w:rsid w:val="000A360A"/>
    <w:rsid w:val="000A4A78"/>
    <w:rsid w:val="000A589B"/>
    <w:rsid w:val="000A7BFB"/>
    <w:rsid w:val="000B0339"/>
    <w:rsid w:val="000B101D"/>
    <w:rsid w:val="000B28DF"/>
    <w:rsid w:val="000B2CDD"/>
    <w:rsid w:val="000B31F8"/>
    <w:rsid w:val="000B5044"/>
    <w:rsid w:val="000B68EB"/>
    <w:rsid w:val="000C065D"/>
    <w:rsid w:val="000C1ED9"/>
    <w:rsid w:val="000C2092"/>
    <w:rsid w:val="000C5B47"/>
    <w:rsid w:val="000C7206"/>
    <w:rsid w:val="000C793D"/>
    <w:rsid w:val="000C7F7E"/>
    <w:rsid w:val="000D04B7"/>
    <w:rsid w:val="000D06E3"/>
    <w:rsid w:val="000D109B"/>
    <w:rsid w:val="000D221B"/>
    <w:rsid w:val="000D2864"/>
    <w:rsid w:val="000D3052"/>
    <w:rsid w:val="000D3DDB"/>
    <w:rsid w:val="000D656A"/>
    <w:rsid w:val="000D694B"/>
    <w:rsid w:val="000D74CF"/>
    <w:rsid w:val="000E090F"/>
    <w:rsid w:val="000E0EA4"/>
    <w:rsid w:val="000E266C"/>
    <w:rsid w:val="000E2A43"/>
    <w:rsid w:val="000E2CB7"/>
    <w:rsid w:val="000E4909"/>
    <w:rsid w:val="000E4FFA"/>
    <w:rsid w:val="000E6017"/>
    <w:rsid w:val="000E7A8D"/>
    <w:rsid w:val="000F03C7"/>
    <w:rsid w:val="000F25F7"/>
    <w:rsid w:val="000F2BD9"/>
    <w:rsid w:val="000F4956"/>
    <w:rsid w:val="000F4B25"/>
    <w:rsid w:val="000F5078"/>
    <w:rsid w:val="000F54F6"/>
    <w:rsid w:val="000F5A4E"/>
    <w:rsid w:val="000F5EE5"/>
    <w:rsid w:val="000F63C8"/>
    <w:rsid w:val="000F64BB"/>
    <w:rsid w:val="000F7380"/>
    <w:rsid w:val="00101224"/>
    <w:rsid w:val="001014F0"/>
    <w:rsid w:val="00101564"/>
    <w:rsid w:val="00101AE6"/>
    <w:rsid w:val="001024BD"/>
    <w:rsid w:val="001031F0"/>
    <w:rsid w:val="00103B1F"/>
    <w:rsid w:val="00105E9B"/>
    <w:rsid w:val="001075ED"/>
    <w:rsid w:val="00107C4B"/>
    <w:rsid w:val="00107EEF"/>
    <w:rsid w:val="001111AA"/>
    <w:rsid w:val="00111588"/>
    <w:rsid w:val="0011388C"/>
    <w:rsid w:val="00113E83"/>
    <w:rsid w:val="00117CFD"/>
    <w:rsid w:val="00120773"/>
    <w:rsid w:val="00120C9C"/>
    <w:rsid w:val="00120D4F"/>
    <w:rsid w:val="00121E82"/>
    <w:rsid w:val="00122419"/>
    <w:rsid w:val="001225A2"/>
    <w:rsid w:val="00123F6F"/>
    <w:rsid w:val="0012457D"/>
    <w:rsid w:val="00124989"/>
    <w:rsid w:val="00125BFD"/>
    <w:rsid w:val="00127EDA"/>
    <w:rsid w:val="00130667"/>
    <w:rsid w:val="00131C9F"/>
    <w:rsid w:val="001329EA"/>
    <w:rsid w:val="001339D7"/>
    <w:rsid w:val="001346D1"/>
    <w:rsid w:val="00134F70"/>
    <w:rsid w:val="00140165"/>
    <w:rsid w:val="001401E9"/>
    <w:rsid w:val="00140597"/>
    <w:rsid w:val="00140F21"/>
    <w:rsid w:val="00141663"/>
    <w:rsid w:val="001419F1"/>
    <w:rsid w:val="00141ABF"/>
    <w:rsid w:val="00141CDF"/>
    <w:rsid w:val="00142421"/>
    <w:rsid w:val="00142E9E"/>
    <w:rsid w:val="00143C51"/>
    <w:rsid w:val="00143D89"/>
    <w:rsid w:val="0014414B"/>
    <w:rsid w:val="00145247"/>
    <w:rsid w:val="00145CB8"/>
    <w:rsid w:val="00145F80"/>
    <w:rsid w:val="001464C6"/>
    <w:rsid w:val="00146EBA"/>
    <w:rsid w:val="00150C9B"/>
    <w:rsid w:val="0015130D"/>
    <w:rsid w:val="00151356"/>
    <w:rsid w:val="0015192C"/>
    <w:rsid w:val="0015240F"/>
    <w:rsid w:val="001524EE"/>
    <w:rsid w:val="00152AC9"/>
    <w:rsid w:val="00152BCC"/>
    <w:rsid w:val="00154037"/>
    <w:rsid w:val="00154DB5"/>
    <w:rsid w:val="001552EE"/>
    <w:rsid w:val="0015533A"/>
    <w:rsid w:val="00155A10"/>
    <w:rsid w:val="00156493"/>
    <w:rsid w:val="00156762"/>
    <w:rsid w:val="00157B0E"/>
    <w:rsid w:val="00160592"/>
    <w:rsid w:val="00160655"/>
    <w:rsid w:val="00160E05"/>
    <w:rsid w:val="00162A95"/>
    <w:rsid w:val="00162DE2"/>
    <w:rsid w:val="00162F88"/>
    <w:rsid w:val="0016350E"/>
    <w:rsid w:val="001657A3"/>
    <w:rsid w:val="00165CBE"/>
    <w:rsid w:val="00166FF8"/>
    <w:rsid w:val="00167D0F"/>
    <w:rsid w:val="001702F0"/>
    <w:rsid w:val="00170698"/>
    <w:rsid w:val="00170E46"/>
    <w:rsid w:val="00171EA4"/>
    <w:rsid w:val="00172CCC"/>
    <w:rsid w:val="001736DF"/>
    <w:rsid w:val="001741F1"/>
    <w:rsid w:val="001752DF"/>
    <w:rsid w:val="00176E3F"/>
    <w:rsid w:val="0017789B"/>
    <w:rsid w:val="00177AF9"/>
    <w:rsid w:val="00177E5E"/>
    <w:rsid w:val="00180034"/>
    <w:rsid w:val="001814AB"/>
    <w:rsid w:val="00181E27"/>
    <w:rsid w:val="00182237"/>
    <w:rsid w:val="001828D6"/>
    <w:rsid w:val="00182D08"/>
    <w:rsid w:val="00183F70"/>
    <w:rsid w:val="00184274"/>
    <w:rsid w:val="00184D0D"/>
    <w:rsid w:val="00186411"/>
    <w:rsid w:val="00186D26"/>
    <w:rsid w:val="00186FD5"/>
    <w:rsid w:val="00190036"/>
    <w:rsid w:val="00191BCB"/>
    <w:rsid w:val="001936A7"/>
    <w:rsid w:val="0019536D"/>
    <w:rsid w:val="00196A41"/>
    <w:rsid w:val="00197523"/>
    <w:rsid w:val="00197C15"/>
    <w:rsid w:val="00197EC1"/>
    <w:rsid w:val="001A0E82"/>
    <w:rsid w:val="001A10D7"/>
    <w:rsid w:val="001A1323"/>
    <w:rsid w:val="001A2838"/>
    <w:rsid w:val="001A2C63"/>
    <w:rsid w:val="001A39FA"/>
    <w:rsid w:val="001A458E"/>
    <w:rsid w:val="001A5368"/>
    <w:rsid w:val="001A5395"/>
    <w:rsid w:val="001A556C"/>
    <w:rsid w:val="001A69C5"/>
    <w:rsid w:val="001A7D89"/>
    <w:rsid w:val="001A7DC6"/>
    <w:rsid w:val="001B330F"/>
    <w:rsid w:val="001B3984"/>
    <w:rsid w:val="001B4146"/>
    <w:rsid w:val="001B4BF3"/>
    <w:rsid w:val="001B4D4D"/>
    <w:rsid w:val="001B543B"/>
    <w:rsid w:val="001B61E1"/>
    <w:rsid w:val="001C213C"/>
    <w:rsid w:val="001C4292"/>
    <w:rsid w:val="001C45A7"/>
    <w:rsid w:val="001C4BF2"/>
    <w:rsid w:val="001C5953"/>
    <w:rsid w:val="001C780D"/>
    <w:rsid w:val="001D2567"/>
    <w:rsid w:val="001D259B"/>
    <w:rsid w:val="001D39A4"/>
    <w:rsid w:val="001D47A6"/>
    <w:rsid w:val="001D4D18"/>
    <w:rsid w:val="001D4D72"/>
    <w:rsid w:val="001D5C32"/>
    <w:rsid w:val="001D7C01"/>
    <w:rsid w:val="001E01BC"/>
    <w:rsid w:val="001E0493"/>
    <w:rsid w:val="001E0BA7"/>
    <w:rsid w:val="001E32E1"/>
    <w:rsid w:val="001E3348"/>
    <w:rsid w:val="001E33F6"/>
    <w:rsid w:val="001E3CD3"/>
    <w:rsid w:val="001E54F3"/>
    <w:rsid w:val="001E5988"/>
    <w:rsid w:val="001E6682"/>
    <w:rsid w:val="001E6DDA"/>
    <w:rsid w:val="001F314C"/>
    <w:rsid w:val="001F42F7"/>
    <w:rsid w:val="001F4445"/>
    <w:rsid w:val="001F444E"/>
    <w:rsid w:val="001F47A1"/>
    <w:rsid w:val="001F4CB3"/>
    <w:rsid w:val="001F6A73"/>
    <w:rsid w:val="001F6EFE"/>
    <w:rsid w:val="001F6F5A"/>
    <w:rsid w:val="001F78FF"/>
    <w:rsid w:val="00200AB1"/>
    <w:rsid w:val="00201041"/>
    <w:rsid w:val="00201A7E"/>
    <w:rsid w:val="00202275"/>
    <w:rsid w:val="0020235C"/>
    <w:rsid w:val="00202578"/>
    <w:rsid w:val="0020283E"/>
    <w:rsid w:val="00202909"/>
    <w:rsid w:val="002033B5"/>
    <w:rsid w:val="00204417"/>
    <w:rsid w:val="00206044"/>
    <w:rsid w:val="002063FD"/>
    <w:rsid w:val="00206524"/>
    <w:rsid w:val="002076FF"/>
    <w:rsid w:val="00210156"/>
    <w:rsid w:val="002103E2"/>
    <w:rsid w:val="002104B2"/>
    <w:rsid w:val="00210638"/>
    <w:rsid w:val="0021100B"/>
    <w:rsid w:val="00211805"/>
    <w:rsid w:val="00211EA2"/>
    <w:rsid w:val="00211F82"/>
    <w:rsid w:val="00213902"/>
    <w:rsid w:val="00213A3D"/>
    <w:rsid w:val="00213CAD"/>
    <w:rsid w:val="002141B4"/>
    <w:rsid w:val="002146F8"/>
    <w:rsid w:val="00216F6F"/>
    <w:rsid w:val="002202A8"/>
    <w:rsid w:val="0022034F"/>
    <w:rsid w:val="002208E5"/>
    <w:rsid w:val="00220944"/>
    <w:rsid w:val="002214FD"/>
    <w:rsid w:val="00221D20"/>
    <w:rsid w:val="00221D38"/>
    <w:rsid w:val="00221DE0"/>
    <w:rsid w:val="00223319"/>
    <w:rsid w:val="00223BD2"/>
    <w:rsid w:val="00224095"/>
    <w:rsid w:val="0022537A"/>
    <w:rsid w:val="00225565"/>
    <w:rsid w:val="00225D34"/>
    <w:rsid w:val="0022669A"/>
    <w:rsid w:val="00227545"/>
    <w:rsid w:val="00227B84"/>
    <w:rsid w:val="0023050B"/>
    <w:rsid w:val="00230930"/>
    <w:rsid w:val="00231986"/>
    <w:rsid w:val="002319C1"/>
    <w:rsid w:val="00231D89"/>
    <w:rsid w:val="00232FC4"/>
    <w:rsid w:val="00235062"/>
    <w:rsid w:val="00235D6B"/>
    <w:rsid w:val="002370E2"/>
    <w:rsid w:val="002375B3"/>
    <w:rsid w:val="0024055E"/>
    <w:rsid w:val="00241936"/>
    <w:rsid w:val="0024345A"/>
    <w:rsid w:val="00243FB7"/>
    <w:rsid w:val="00245550"/>
    <w:rsid w:val="00246176"/>
    <w:rsid w:val="002466BC"/>
    <w:rsid w:val="00246C31"/>
    <w:rsid w:val="002473E2"/>
    <w:rsid w:val="00247464"/>
    <w:rsid w:val="002476AB"/>
    <w:rsid w:val="00247A98"/>
    <w:rsid w:val="00247C16"/>
    <w:rsid w:val="00250BDA"/>
    <w:rsid w:val="002518FD"/>
    <w:rsid w:val="00251CE3"/>
    <w:rsid w:val="00251F98"/>
    <w:rsid w:val="00252189"/>
    <w:rsid w:val="00253DD5"/>
    <w:rsid w:val="00253EDE"/>
    <w:rsid w:val="00254025"/>
    <w:rsid w:val="0025462A"/>
    <w:rsid w:val="002553F3"/>
    <w:rsid w:val="0025685A"/>
    <w:rsid w:val="00256C8E"/>
    <w:rsid w:val="002572A0"/>
    <w:rsid w:val="00260D9C"/>
    <w:rsid w:val="00262787"/>
    <w:rsid w:val="00263FEC"/>
    <w:rsid w:val="00264082"/>
    <w:rsid w:val="00264D2D"/>
    <w:rsid w:val="00265454"/>
    <w:rsid w:val="00266660"/>
    <w:rsid w:val="00267EAB"/>
    <w:rsid w:val="00270322"/>
    <w:rsid w:val="0027103B"/>
    <w:rsid w:val="00271198"/>
    <w:rsid w:val="00272D28"/>
    <w:rsid w:val="0027443E"/>
    <w:rsid w:val="002751DC"/>
    <w:rsid w:val="0028059F"/>
    <w:rsid w:val="00280F4A"/>
    <w:rsid w:val="0028493D"/>
    <w:rsid w:val="00285821"/>
    <w:rsid w:val="0028594C"/>
    <w:rsid w:val="0028673C"/>
    <w:rsid w:val="00286FB4"/>
    <w:rsid w:val="00287391"/>
    <w:rsid w:val="00287CAB"/>
    <w:rsid w:val="002919E7"/>
    <w:rsid w:val="00291DDB"/>
    <w:rsid w:val="00293181"/>
    <w:rsid w:val="00293596"/>
    <w:rsid w:val="00293C32"/>
    <w:rsid w:val="002944E0"/>
    <w:rsid w:val="00294574"/>
    <w:rsid w:val="002953E0"/>
    <w:rsid w:val="00295D53"/>
    <w:rsid w:val="0029660F"/>
    <w:rsid w:val="00297C44"/>
    <w:rsid w:val="002A0960"/>
    <w:rsid w:val="002A0B5A"/>
    <w:rsid w:val="002A2655"/>
    <w:rsid w:val="002A41A3"/>
    <w:rsid w:val="002A4320"/>
    <w:rsid w:val="002A4B0F"/>
    <w:rsid w:val="002A4B38"/>
    <w:rsid w:val="002A5260"/>
    <w:rsid w:val="002A58B2"/>
    <w:rsid w:val="002A6FD4"/>
    <w:rsid w:val="002B031B"/>
    <w:rsid w:val="002B2E23"/>
    <w:rsid w:val="002B3F78"/>
    <w:rsid w:val="002B6B9F"/>
    <w:rsid w:val="002B6EEB"/>
    <w:rsid w:val="002B7BED"/>
    <w:rsid w:val="002C0134"/>
    <w:rsid w:val="002C0541"/>
    <w:rsid w:val="002C0733"/>
    <w:rsid w:val="002C0A0E"/>
    <w:rsid w:val="002C0F1C"/>
    <w:rsid w:val="002C14A0"/>
    <w:rsid w:val="002C1593"/>
    <w:rsid w:val="002C406F"/>
    <w:rsid w:val="002C4263"/>
    <w:rsid w:val="002C554F"/>
    <w:rsid w:val="002C5CAA"/>
    <w:rsid w:val="002C5CBA"/>
    <w:rsid w:val="002C7B87"/>
    <w:rsid w:val="002C7DBC"/>
    <w:rsid w:val="002C7E82"/>
    <w:rsid w:val="002D19CD"/>
    <w:rsid w:val="002D1E79"/>
    <w:rsid w:val="002D2A1D"/>
    <w:rsid w:val="002D3140"/>
    <w:rsid w:val="002D3E0E"/>
    <w:rsid w:val="002D468F"/>
    <w:rsid w:val="002D5B5F"/>
    <w:rsid w:val="002D5B89"/>
    <w:rsid w:val="002D77AC"/>
    <w:rsid w:val="002E087E"/>
    <w:rsid w:val="002E099C"/>
    <w:rsid w:val="002E0F5C"/>
    <w:rsid w:val="002E16CB"/>
    <w:rsid w:val="002E22E8"/>
    <w:rsid w:val="002E2819"/>
    <w:rsid w:val="002E2F57"/>
    <w:rsid w:val="002E3450"/>
    <w:rsid w:val="002E3DF0"/>
    <w:rsid w:val="002E3E0B"/>
    <w:rsid w:val="002E3F77"/>
    <w:rsid w:val="002E4335"/>
    <w:rsid w:val="002E461C"/>
    <w:rsid w:val="002E599B"/>
    <w:rsid w:val="002E5E0E"/>
    <w:rsid w:val="002E5E67"/>
    <w:rsid w:val="002E6944"/>
    <w:rsid w:val="002E6ADC"/>
    <w:rsid w:val="002E72CA"/>
    <w:rsid w:val="002F06C6"/>
    <w:rsid w:val="002F0AB3"/>
    <w:rsid w:val="002F17F5"/>
    <w:rsid w:val="002F1961"/>
    <w:rsid w:val="002F2034"/>
    <w:rsid w:val="002F2040"/>
    <w:rsid w:val="002F460E"/>
    <w:rsid w:val="002F6BA8"/>
    <w:rsid w:val="002F71BF"/>
    <w:rsid w:val="00300482"/>
    <w:rsid w:val="00301A2B"/>
    <w:rsid w:val="00302D67"/>
    <w:rsid w:val="00304791"/>
    <w:rsid w:val="00305D19"/>
    <w:rsid w:val="003104B6"/>
    <w:rsid w:val="00310C6A"/>
    <w:rsid w:val="00311781"/>
    <w:rsid w:val="00312167"/>
    <w:rsid w:val="003127B0"/>
    <w:rsid w:val="003128A5"/>
    <w:rsid w:val="0031373D"/>
    <w:rsid w:val="00315F73"/>
    <w:rsid w:val="00317785"/>
    <w:rsid w:val="00320DEE"/>
    <w:rsid w:val="00321BAD"/>
    <w:rsid w:val="00321C15"/>
    <w:rsid w:val="0032230B"/>
    <w:rsid w:val="00322870"/>
    <w:rsid w:val="00325645"/>
    <w:rsid w:val="003261DC"/>
    <w:rsid w:val="00327174"/>
    <w:rsid w:val="00327B4B"/>
    <w:rsid w:val="00327B94"/>
    <w:rsid w:val="0033048B"/>
    <w:rsid w:val="00330AAD"/>
    <w:rsid w:val="00330AC0"/>
    <w:rsid w:val="00331504"/>
    <w:rsid w:val="00331CE0"/>
    <w:rsid w:val="00331E9C"/>
    <w:rsid w:val="00333DCD"/>
    <w:rsid w:val="003346A7"/>
    <w:rsid w:val="003355DA"/>
    <w:rsid w:val="003362A9"/>
    <w:rsid w:val="0033671C"/>
    <w:rsid w:val="00337E19"/>
    <w:rsid w:val="00340CD4"/>
    <w:rsid w:val="00340D13"/>
    <w:rsid w:val="00340EC7"/>
    <w:rsid w:val="00341534"/>
    <w:rsid w:val="00341543"/>
    <w:rsid w:val="00343F97"/>
    <w:rsid w:val="003441EA"/>
    <w:rsid w:val="0034462C"/>
    <w:rsid w:val="003449C1"/>
    <w:rsid w:val="00345037"/>
    <w:rsid w:val="00345CA1"/>
    <w:rsid w:val="0034695A"/>
    <w:rsid w:val="00347748"/>
    <w:rsid w:val="0034777D"/>
    <w:rsid w:val="00352A78"/>
    <w:rsid w:val="003537BC"/>
    <w:rsid w:val="00354FBD"/>
    <w:rsid w:val="00355172"/>
    <w:rsid w:val="00356D69"/>
    <w:rsid w:val="003573E0"/>
    <w:rsid w:val="00357EDB"/>
    <w:rsid w:val="003613FC"/>
    <w:rsid w:val="00363041"/>
    <w:rsid w:val="00365332"/>
    <w:rsid w:val="00365334"/>
    <w:rsid w:val="00366668"/>
    <w:rsid w:val="003667CA"/>
    <w:rsid w:val="003668F2"/>
    <w:rsid w:val="00370320"/>
    <w:rsid w:val="00370A28"/>
    <w:rsid w:val="003718B9"/>
    <w:rsid w:val="003719FA"/>
    <w:rsid w:val="00371E59"/>
    <w:rsid w:val="00372259"/>
    <w:rsid w:val="0037329D"/>
    <w:rsid w:val="0037351F"/>
    <w:rsid w:val="00375393"/>
    <w:rsid w:val="00381952"/>
    <w:rsid w:val="003821A1"/>
    <w:rsid w:val="0038273D"/>
    <w:rsid w:val="003833D2"/>
    <w:rsid w:val="00386280"/>
    <w:rsid w:val="00386ACC"/>
    <w:rsid w:val="003870E4"/>
    <w:rsid w:val="003879C4"/>
    <w:rsid w:val="00390124"/>
    <w:rsid w:val="00390303"/>
    <w:rsid w:val="0039140D"/>
    <w:rsid w:val="00391EE2"/>
    <w:rsid w:val="003930E4"/>
    <w:rsid w:val="0039332F"/>
    <w:rsid w:val="00393538"/>
    <w:rsid w:val="003940E6"/>
    <w:rsid w:val="0039438F"/>
    <w:rsid w:val="00394F3D"/>
    <w:rsid w:val="00396A9E"/>
    <w:rsid w:val="00397549"/>
    <w:rsid w:val="00397E18"/>
    <w:rsid w:val="003A05EF"/>
    <w:rsid w:val="003A0623"/>
    <w:rsid w:val="003A08A4"/>
    <w:rsid w:val="003A24BC"/>
    <w:rsid w:val="003A3270"/>
    <w:rsid w:val="003A3E1C"/>
    <w:rsid w:val="003A4376"/>
    <w:rsid w:val="003A56F5"/>
    <w:rsid w:val="003A7281"/>
    <w:rsid w:val="003A79EB"/>
    <w:rsid w:val="003B0C7C"/>
    <w:rsid w:val="003B0F5C"/>
    <w:rsid w:val="003B186A"/>
    <w:rsid w:val="003B1DAD"/>
    <w:rsid w:val="003B3BFB"/>
    <w:rsid w:val="003B4730"/>
    <w:rsid w:val="003B4CF6"/>
    <w:rsid w:val="003B4F86"/>
    <w:rsid w:val="003B5D65"/>
    <w:rsid w:val="003B7F7F"/>
    <w:rsid w:val="003C0128"/>
    <w:rsid w:val="003C166F"/>
    <w:rsid w:val="003C1FE6"/>
    <w:rsid w:val="003C23FA"/>
    <w:rsid w:val="003C24FA"/>
    <w:rsid w:val="003C30AB"/>
    <w:rsid w:val="003C42A7"/>
    <w:rsid w:val="003C4BE1"/>
    <w:rsid w:val="003C4FAA"/>
    <w:rsid w:val="003C59F1"/>
    <w:rsid w:val="003C5BC9"/>
    <w:rsid w:val="003C5EF3"/>
    <w:rsid w:val="003C6EEE"/>
    <w:rsid w:val="003C7EC7"/>
    <w:rsid w:val="003D35CE"/>
    <w:rsid w:val="003D3613"/>
    <w:rsid w:val="003D3856"/>
    <w:rsid w:val="003D3916"/>
    <w:rsid w:val="003D3971"/>
    <w:rsid w:val="003D39E4"/>
    <w:rsid w:val="003D3BF2"/>
    <w:rsid w:val="003D3C82"/>
    <w:rsid w:val="003D439F"/>
    <w:rsid w:val="003D498A"/>
    <w:rsid w:val="003D56EC"/>
    <w:rsid w:val="003D6691"/>
    <w:rsid w:val="003D754F"/>
    <w:rsid w:val="003E003F"/>
    <w:rsid w:val="003E0625"/>
    <w:rsid w:val="003E36F5"/>
    <w:rsid w:val="003E63EE"/>
    <w:rsid w:val="003F03D5"/>
    <w:rsid w:val="003F0410"/>
    <w:rsid w:val="003F3153"/>
    <w:rsid w:val="003F5D19"/>
    <w:rsid w:val="003F5DD7"/>
    <w:rsid w:val="003F63ED"/>
    <w:rsid w:val="003F6D84"/>
    <w:rsid w:val="003F7943"/>
    <w:rsid w:val="004000D9"/>
    <w:rsid w:val="0040173E"/>
    <w:rsid w:val="004025DD"/>
    <w:rsid w:val="0040317D"/>
    <w:rsid w:val="004035D0"/>
    <w:rsid w:val="00405742"/>
    <w:rsid w:val="00405CF8"/>
    <w:rsid w:val="00405D37"/>
    <w:rsid w:val="00405E9B"/>
    <w:rsid w:val="0040625B"/>
    <w:rsid w:val="004064F1"/>
    <w:rsid w:val="0041071E"/>
    <w:rsid w:val="00410B16"/>
    <w:rsid w:val="004111A6"/>
    <w:rsid w:val="004127A0"/>
    <w:rsid w:val="004134FA"/>
    <w:rsid w:val="00415353"/>
    <w:rsid w:val="00416735"/>
    <w:rsid w:val="004173DE"/>
    <w:rsid w:val="00422E19"/>
    <w:rsid w:val="0042304D"/>
    <w:rsid w:val="00424A6D"/>
    <w:rsid w:val="00424C30"/>
    <w:rsid w:val="00425254"/>
    <w:rsid w:val="00425874"/>
    <w:rsid w:val="004264B3"/>
    <w:rsid w:val="004264FE"/>
    <w:rsid w:val="00426571"/>
    <w:rsid w:val="00426D1D"/>
    <w:rsid w:val="00430AC4"/>
    <w:rsid w:val="00430F17"/>
    <w:rsid w:val="004317D0"/>
    <w:rsid w:val="00431D7A"/>
    <w:rsid w:val="0043489F"/>
    <w:rsid w:val="00434D24"/>
    <w:rsid w:val="00434D88"/>
    <w:rsid w:val="00436491"/>
    <w:rsid w:val="00437EE8"/>
    <w:rsid w:val="0044072F"/>
    <w:rsid w:val="0044089C"/>
    <w:rsid w:val="004408E1"/>
    <w:rsid w:val="004413DA"/>
    <w:rsid w:val="00441714"/>
    <w:rsid w:val="00441745"/>
    <w:rsid w:val="00441999"/>
    <w:rsid w:val="00442F3A"/>
    <w:rsid w:val="00443DCA"/>
    <w:rsid w:val="00444A36"/>
    <w:rsid w:val="00445B7D"/>
    <w:rsid w:val="00445CBB"/>
    <w:rsid w:val="004464A2"/>
    <w:rsid w:val="00446ABB"/>
    <w:rsid w:val="00446FAB"/>
    <w:rsid w:val="00451353"/>
    <w:rsid w:val="00451498"/>
    <w:rsid w:val="004514B2"/>
    <w:rsid w:val="00451678"/>
    <w:rsid w:val="0045533D"/>
    <w:rsid w:val="00455FCF"/>
    <w:rsid w:val="00456950"/>
    <w:rsid w:val="00457823"/>
    <w:rsid w:val="00457BBA"/>
    <w:rsid w:val="0046509D"/>
    <w:rsid w:val="00465123"/>
    <w:rsid w:val="0046531F"/>
    <w:rsid w:val="00467790"/>
    <w:rsid w:val="00470680"/>
    <w:rsid w:val="004709B9"/>
    <w:rsid w:val="00470C80"/>
    <w:rsid w:val="00471051"/>
    <w:rsid w:val="00471270"/>
    <w:rsid w:val="004715CB"/>
    <w:rsid w:val="00471E61"/>
    <w:rsid w:val="00473263"/>
    <w:rsid w:val="0047375C"/>
    <w:rsid w:val="00473BAE"/>
    <w:rsid w:val="00473C51"/>
    <w:rsid w:val="00474307"/>
    <w:rsid w:val="00480859"/>
    <w:rsid w:val="0048094A"/>
    <w:rsid w:val="00480B80"/>
    <w:rsid w:val="004811A8"/>
    <w:rsid w:val="0048176D"/>
    <w:rsid w:val="0048178F"/>
    <w:rsid w:val="00481852"/>
    <w:rsid w:val="00481B31"/>
    <w:rsid w:val="0048248D"/>
    <w:rsid w:val="0048354B"/>
    <w:rsid w:val="00483B7A"/>
    <w:rsid w:val="00484C92"/>
    <w:rsid w:val="00485D9B"/>
    <w:rsid w:val="00485EE2"/>
    <w:rsid w:val="00486D18"/>
    <w:rsid w:val="00486F25"/>
    <w:rsid w:val="0048701F"/>
    <w:rsid w:val="00487B4B"/>
    <w:rsid w:val="00490006"/>
    <w:rsid w:val="0049031E"/>
    <w:rsid w:val="00490697"/>
    <w:rsid w:val="00491790"/>
    <w:rsid w:val="00491E67"/>
    <w:rsid w:val="004926F5"/>
    <w:rsid w:val="004945E2"/>
    <w:rsid w:val="00494821"/>
    <w:rsid w:val="00494BEB"/>
    <w:rsid w:val="0049626B"/>
    <w:rsid w:val="0049686A"/>
    <w:rsid w:val="0049782B"/>
    <w:rsid w:val="004A010D"/>
    <w:rsid w:val="004A0E60"/>
    <w:rsid w:val="004A20A5"/>
    <w:rsid w:val="004A29CA"/>
    <w:rsid w:val="004A36A1"/>
    <w:rsid w:val="004A409A"/>
    <w:rsid w:val="004A46CC"/>
    <w:rsid w:val="004A4C9F"/>
    <w:rsid w:val="004A4FBF"/>
    <w:rsid w:val="004A54FC"/>
    <w:rsid w:val="004A5C6F"/>
    <w:rsid w:val="004A619B"/>
    <w:rsid w:val="004A72A5"/>
    <w:rsid w:val="004B1886"/>
    <w:rsid w:val="004B1A10"/>
    <w:rsid w:val="004B3B9B"/>
    <w:rsid w:val="004B4D09"/>
    <w:rsid w:val="004B67A5"/>
    <w:rsid w:val="004B69B2"/>
    <w:rsid w:val="004B6DA0"/>
    <w:rsid w:val="004B6EB3"/>
    <w:rsid w:val="004B7032"/>
    <w:rsid w:val="004B7CD3"/>
    <w:rsid w:val="004C0098"/>
    <w:rsid w:val="004C18CF"/>
    <w:rsid w:val="004C1AAA"/>
    <w:rsid w:val="004C210A"/>
    <w:rsid w:val="004C3FE3"/>
    <w:rsid w:val="004C41A1"/>
    <w:rsid w:val="004C4378"/>
    <w:rsid w:val="004C476A"/>
    <w:rsid w:val="004C49DB"/>
    <w:rsid w:val="004C55E4"/>
    <w:rsid w:val="004C60E4"/>
    <w:rsid w:val="004C694A"/>
    <w:rsid w:val="004C6E91"/>
    <w:rsid w:val="004C781C"/>
    <w:rsid w:val="004C7DE4"/>
    <w:rsid w:val="004D02AA"/>
    <w:rsid w:val="004D052C"/>
    <w:rsid w:val="004D109B"/>
    <w:rsid w:val="004D2ED3"/>
    <w:rsid w:val="004D2F0A"/>
    <w:rsid w:val="004D40FA"/>
    <w:rsid w:val="004D4A85"/>
    <w:rsid w:val="004D4FD7"/>
    <w:rsid w:val="004D5C98"/>
    <w:rsid w:val="004D5E1E"/>
    <w:rsid w:val="004D664F"/>
    <w:rsid w:val="004D7BAD"/>
    <w:rsid w:val="004D7D30"/>
    <w:rsid w:val="004E029E"/>
    <w:rsid w:val="004E03C8"/>
    <w:rsid w:val="004E0A93"/>
    <w:rsid w:val="004E108B"/>
    <w:rsid w:val="004E1630"/>
    <w:rsid w:val="004E1711"/>
    <w:rsid w:val="004E2CBA"/>
    <w:rsid w:val="004E4523"/>
    <w:rsid w:val="004E49E7"/>
    <w:rsid w:val="004E4F9B"/>
    <w:rsid w:val="004E57B9"/>
    <w:rsid w:val="004E6827"/>
    <w:rsid w:val="004E76FE"/>
    <w:rsid w:val="004F10BD"/>
    <w:rsid w:val="004F1C5F"/>
    <w:rsid w:val="004F26F9"/>
    <w:rsid w:val="004F4A3F"/>
    <w:rsid w:val="004F7138"/>
    <w:rsid w:val="004F7600"/>
    <w:rsid w:val="005006FC"/>
    <w:rsid w:val="0050086E"/>
    <w:rsid w:val="0050362B"/>
    <w:rsid w:val="00503F07"/>
    <w:rsid w:val="0050653E"/>
    <w:rsid w:val="00506B17"/>
    <w:rsid w:val="00506C5F"/>
    <w:rsid w:val="0050765A"/>
    <w:rsid w:val="005077D5"/>
    <w:rsid w:val="00511824"/>
    <w:rsid w:val="00511AE5"/>
    <w:rsid w:val="00511B2A"/>
    <w:rsid w:val="0051261E"/>
    <w:rsid w:val="005129FB"/>
    <w:rsid w:val="0051359E"/>
    <w:rsid w:val="00513D02"/>
    <w:rsid w:val="0051515B"/>
    <w:rsid w:val="0051565D"/>
    <w:rsid w:val="00515B36"/>
    <w:rsid w:val="00516AD6"/>
    <w:rsid w:val="00517A8A"/>
    <w:rsid w:val="0052071A"/>
    <w:rsid w:val="00521297"/>
    <w:rsid w:val="00521A80"/>
    <w:rsid w:val="00521B49"/>
    <w:rsid w:val="0052251F"/>
    <w:rsid w:val="005238EB"/>
    <w:rsid w:val="00524D8B"/>
    <w:rsid w:val="00524DB9"/>
    <w:rsid w:val="005251EA"/>
    <w:rsid w:val="005260E5"/>
    <w:rsid w:val="00530011"/>
    <w:rsid w:val="005300DD"/>
    <w:rsid w:val="005301B1"/>
    <w:rsid w:val="00530AA2"/>
    <w:rsid w:val="00531AD1"/>
    <w:rsid w:val="0053380A"/>
    <w:rsid w:val="0053415F"/>
    <w:rsid w:val="00534B98"/>
    <w:rsid w:val="00535497"/>
    <w:rsid w:val="0053629C"/>
    <w:rsid w:val="00536986"/>
    <w:rsid w:val="00536A82"/>
    <w:rsid w:val="00537094"/>
    <w:rsid w:val="00537269"/>
    <w:rsid w:val="005373DB"/>
    <w:rsid w:val="00537F1A"/>
    <w:rsid w:val="0054020B"/>
    <w:rsid w:val="00541225"/>
    <w:rsid w:val="005414AD"/>
    <w:rsid w:val="00542899"/>
    <w:rsid w:val="005447D5"/>
    <w:rsid w:val="00544C22"/>
    <w:rsid w:val="00545A79"/>
    <w:rsid w:val="00545D8B"/>
    <w:rsid w:val="00545F5D"/>
    <w:rsid w:val="00547FE0"/>
    <w:rsid w:val="005521CF"/>
    <w:rsid w:val="005532CD"/>
    <w:rsid w:val="00553B0D"/>
    <w:rsid w:val="00554086"/>
    <w:rsid w:val="0055453E"/>
    <w:rsid w:val="00554576"/>
    <w:rsid w:val="005551F9"/>
    <w:rsid w:val="00555B2F"/>
    <w:rsid w:val="00555CB1"/>
    <w:rsid w:val="00555DDD"/>
    <w:rsid w:val="0055707E"/>
    <w:rsid w:val="0055756A"/>
    <w:rsid w:val="005614AE"/>
    <w:rsid w:val="00561C10"/>
    <w:rsid w:val="00561ED3"/>
    <w:rsid w:val="00563758"/>
    <w:rsid w:val="005653A5"/>
    <w:rsid w:val="0056572A"/>
    <w:rsid w:val="005669AF"/>
    <w:rsid w:val="005670BA"/>
    <w:rsid w:val="005678A2"/>
    <w:rsid w:val="005700B6"/>
    <w:rsid w:val="005702EA"/>
    <w:rsid w:val="00570EED"/>
    <w:rsid w:val="00570FB8"/>
    <w:rsid w:val="00571828"/>
    <w:rsid w:val="00571CA5"/>
    <w:rsid w:val="00572007"/>
    <w:rsid w:val="0057399F"/>
    <w:rsid w:val="00573B99"/>
    <w:rsid w:val="005743F9"/>
    <w:rsid w:val="0057442F"/>
    <w:rsid w:val="00577DF4"/>
    <w:rsid w:val="005809CD"/>
    <w:rsid w:val="0058189D"/>
    <w:rsid w:val="00581D1B"/>
    <w:rsid w:val="005826C1"/>
    <w:rsid w:val="00582A27"/>
    <w:rsid w:val="00582B5C"/>
    <w:rsid w:val="00583536"/>
    <w:rsid w:val="0058367F"/>
    <w:rsid w:val="00583765"/>
    <w:rsid w:val="0058514F"/>
    <w:rsid w:val="0058552E"/>
    <w:rsid w:val="00586541"/>
    <w:rsid w:val="0058788C"/>
    <w:rsid w:val="00591DFE"/>
    <w:rsid w:val="00592192"/>
    <w:rsid w:val="00592B34"/>
    <w:rsid w:val="005938CA"/>
    <w:rsid w:val="005959ED"/>
    <w:rsid w:val="00595AFA"/>
    <w:rsid w:val="00596DA8"/>
    <w:rsid w:val="00597019"/>
    <w:rsid w:val="0059761B"/>
    <w:rsid w:val="00597DDA"/>
    <w:rsid w:val="005A09FA"/>
    <w:rsid w:val="005A22B9"/>
    <w:rsid w:val="005A3706"/>
    <w:rsid w:val="005A3786"/>
    <w:rsid w:val="005A3A10"/>
    <w:rsid w:val="005A3B73"/>
    <w:rsid w:val="005A40B9"/>
    <w:rsid w:val="005A5307"/>
    <w:rsid w:val="005A5575"/>
    <w:rsid w:val="005A59B5"/>
    <w:rsid w:val="005A5B07"/>
    <w:rsid w:val="005A5F22"/>
    <w:rsid w:val="005A69BA"/>
    <w:rsid w:val="005B05DE"/>
    <w:rsid w:val="005B1F42"/>
    <w:rsid w:val="005B2090"/>
    <w:rsid w:val="005B2DB1"/>
    <w:rsid w:val="005B5234"/>
    <w:rsid w:val="005B74DD"/>
    <w:rsid w:val="005B7DF8"/>
    <w:rsid w:val="005C0912"/>
    <w:rsid w:val="005C0BD6"/>
    <w:rsid w:val="005C1BE1"/>
    <w:rsid w:val="005C267A"/>
    <w:rsid w:val="005C2EEF"/>
    <w:rsid w:val="005C37F9"/>
    <w:rsid w:val="005C4D36"/>
    <w:rsid w:val="005C769F"/>
    <w:rsid w:val="005D049B"/>
    <w:rsid w:val="005D066E"/>
    <w:rsid w:val="005D0BCF"/>
    <w:rsid w:val="005D1141"/>
    <w:rsid w:val="005D239C"/>
    <w:rsid w:val="005D29F0"/>
    <w:rsid w:val="005D39EC"/>
    <w:rsid w:val="005D3AEC"/>
    <w:rsid w:val="005D3FED"/>
    <w:rsid w:val="005D5177"/>
    <w:rsid w:val="005D5F0C"/>
    <w:rsid w:val="005D5FFD"/>
    <w:rsid w:val="005D6534"/>
    <w:rsid w:val="005D6DE4"/>
    <w:rsid w:val="005D6E65"/>
    <w:rsid w:val="005D6EA0"/>
    <w:rsid w:val="005D72EA"/>
    <w:rsid w:val="005D72F4"/>
    <w:rsid w:val="005D783F"/>
    <w:rsid w:val="005D784D"/>
    <w:rsid w:val="005E0013"/>
    <w:rsid w:val="005E0AC8"/>
    <w:rsid w:val="005E0FA9"/>
    <w:rsid w:val="005E100B"/>
    <w:rsid w:val="005E1CB1"/>
    <w:rsid w:val="005E1D2C"/>
    <w:rsid w:val="005E407A"/>
    <w:rsid w:val="005E4677"/>
    <w:rsid w:val="005E487A"/>
    <w:rsid w:val="005E5645"/>
    <w:rsid w:val="005E6270"/>
    <w:rsid w:val="005E6521"/>
    <w:rsid w:val="005E6A1F"/>
    <w:rsid w:val="005E7AA2"/>
    <w:rsid w:val="005F012A"/>
    <w:rsid w:val="005F0323"/>
    <w:rsid w:val="005F0ABA"/>
    <w:rsid w:val="005F1CC5"/>
    <w:rsid w:val="005F2C2A"/>
    <w:rsid w:val="005F3155"/>
    <w:rsid w:val="005F3223"/>
    <w:rsid w:val="005F36C0"/>
    <w:rsid w:val="005F38E1"/>
    <w:rsid w:val="005F3F4A"/>
    <w:rsid w:val="005F4F7B"/>
    <w:rsid w:val="005F5052"/>
    <w:rsid w:val="005F581D"/>
    <w:rsid w:val="005F5A5A"/>
    <w:rsid w:val="005F7A7B"/>
    <w:rsid w:val="005F7D2D"/>
    <w:rsid w:val="00600F45"/>
    <w:rsid w:val="00602080"/>
    <w:rsid w:val="006023A8"/>
    <w:rsid w:val="00602E0A"/>
    <w:rsid w:val="00603948"/>
    <w:rsid w:val="00603E2B"/>
    <w:rsid w:val="006052C7"/>
    <w:rsid w:val="006053C9"/>
    <w:rsid w:val="00605DB7"/>
    <w:rsid w:val="00605EF8"/>
    <w:rsid w:val="006073E5"/>
    <w:rsid w:val="006073E7"/>
    <w:rsid w:val="00610F72"/>
    <w:rsid w:val="006113FD"/>
    <w:rsid w:val="0061166F"/>
    <w:rsid w:val="00612817"/>
    <w:rsid w:val="00614472"/>
    <w:rsid w:val="00615E8D"/>
    <w:rsid w:val="00616295"/>
    <w:rsid w:val="006167E0"/>
    <w:rsid w:val="0061732B"/>
    <w:rsid w:val="006204AA"/>
    <w:rsid w:val="00620DBC"/>
    <w:rsid w:val="0062428D"/>
    <w:rsid w:val="00627A27"/>
    <w:rsid w:val="0063118E"/>
    <w:rsid w:val="006312EE"/>
    <w:rsid w:val="00635449"/>
    <w:rsid w:val="00636384"/>
    <w:rsid w:val="00636F79"/>
    <w:rsid w:val="00637D36"/>
    <w:rsid w:val="00637DD8"/>
    <w:rsid w:val="00641FB0"/>
    <w:rsid w:val="00642CD5"/>
    <w:rsid w:val="00643809"/>
    <w:rsid w:val="00643908"/>
    <w:rsid w:val="00643BA3"/>
    <w:rsid w:val="006440E8"/>
    <w:rsid w:val="00644253"/>
    <w:rsid w:val="006447EE"/>
    <w:rsid w:val="00644EB5"/>
    <w:rsid w:val="006458F5"/>
    <w:rsid w:val="006462BE"/>
    <w:rsid w:val="00646334"/>
    <w:rsid w:val="0064751E"/>
    <w:rsid w:val="00650742"/>
    <w:rsid w:val="00650A8C"/>
    <w:rsid w:val="006514CD"/>
    <w:rsid w:val="00651D54"/>
    <w:rsid w:val="0065405F"/>
    <w:rsid w:val="00654A04"/>
    <w:rsid w:val="006555B1"/>
    <w:rsid w:val="00656599"/>
    <w:rsid w:val="00657527"/>
    <w:rsid w:val="00657749"/>
    <w:rsid w:val="00657AAC"/>
    <w:rsid w:val="00657C8A"/>
    <w:rsid w:val="006603F2"/>
    <w:rsid w:val="0066135B"/>
    <w:rsid w:val="00663C1C"/>
    <w:rsid w:val="00664E11"/>
    <w:rsid w:val="00665747"/>
    <w:rsid w:val="0066593E"/>
    <w:rsid w:val="00666DCD"/>
    <w:rsid w:val="006670E9"/>
    <w:rsid w:val="0066760A"/>
    <w:rsid w:val="00670356"/>
    <w:rsid w:val="006726E2"/>
    <w:rsid w:val="0067313C"/>
    <w:rsid w:val="006731A2"/>
    <w:rsid w:val="0067335A"/>
    <w:rsid w:val="0067338E"/>
    <w:rsid w:val="00675D0D"/>
    <w:rsid w:val="00675DB0"/>
    <w:rsid w:val="00677147"/>
    <w:rsid w:val="006776E8"/>
    <w:rsid w:val="00680D1A"/>
    <w:rsid w:val="00681998"/>
    <w:rsid w:val="00682CE5"/>
    <w:rsid w:val="00682F9E"/>
    <w:rsid w:val="00684A05"/>
    <w:rsid w:val="00684C5A"/>
    <w:rsid w:val="00685624"/>
    <w:rsid w:val="0068587E"/>
    <w:rsid w:val="00686C38"/>
    <w:rsid w:val="006920EE"/>
    <w:rsid w:val="0069281A"/>
    <w:rsid w:val="0069462B"/>
    <w:rsid w:val="006957E9"/>
    <w:rsid w:val="0069632B"/>
    <w:rsid w:val="00696F9F"/>
    <w:rsid w:val="00697B51"/>
    <w:rsid w:val="006A0984"/>
    <w:rsid w:val="006A120D"/>
    <w:rsid w:val="006A1890"/>
    <w:rsid w:val="006A2CCB"/>
    <w:rsid w:val="006A4070"/>
    <w:rsid w:val="006A42C5"/>
    <w:rsid w:val="006A44A3"/>
    <w:rsid w:val="006A4839"/>
    <w:rsid w:val="006A4B9A"/>
    <w:rsid w:val="006A5693"/>
    <w:rsid w:val="006A5D9F"/>
    <w:rsid w:val="006A6692"/>
    <w:rsid w:val="006A734B"/>
    <w:rsid w:val="006A763B"/>
    <w:rsid w:val="006A7E85"/>
    <w:rsid w:val="006B035D"/>
    <w:rsid w:val="006B0D7B"/>
    <w:rsid w:val="006B17C7"/>
    <w:rsid w:val="006B1F6B"/>
    <w:rsid w:val="006B508E"/>
    <w:rsid w:val="006B5A89"/>
    <w:rsid w:val="006B6A2C"/>
    <w:rsid w:val="006B712F"/>
    <w:rsid w:val="006B7322"/>
    <w:rsid w:val="006B7C88"/>
    <w:rsid w:val="006C04A7"/>
    <w:rsid w:val="006C084D"/>
    <w:rsid w:val="006C14C8"/>
    <w:rsid w:val="006C4C58"/>
    <w:rsid w:val="006D16BD"/>
    <w:rsid w:val="006D321D"/>
    <w:rsid w:val="006D33D8"/>
    <w:rsid w:val="006D4443"/>
    <w:rsid w:val="006D4880"/>
    <w:rsid w:val="006D4B63"/>
    <w:rsid w:val="006D4BC5"/>
    <w:rsid w:val="006D5036"/>
    <w:rsid w:val="006D52EE"/>
    <w:rsid w:val="006D6B1E"/>
    <w:rsid w:val="006D726F"/>
    <w:rsid w:val="006D7657"/>
    <w:rsid w:val="006D7881"/>
    <w:rsid w:val="006D7A1C"/>
    <w:rsid w:val="006D7D4C"/>
    <w:rsid w:val="006E1B85"/>
    <w:rsid w:val="006E1F36"/>
    <w:rsid w:val="006E2B7C"/>
    <w:rsid w:val="006E30F8"/>
    <w:rsid w:val="006E4271"/>
    <w:rsid w:val="006E4DB2"/>
    <w:rsid w:val="006E53BB"/>
    <w:rsid w:val="006E55CD"/>
    <w:rsid w:val="006E566B"/>
    <w:rsid w:val="006E6373"/>
    <w:rsid w:val="006E673F"/>
    <w:rsid w:val="006E6E79"/>
    <w:rsid w:val="006E7B42"/>
    <w:rsid w:val="006F0D77"/>
    <w:rsid w:val="006F1C8F"/>
    <w:rsid w:val="006F6978"/>
    <w:rsid w:val="006F69E6"/>
    <w:rsid w:val="0070036C"/>
    <w:rsid w:val="007003D9"/>
    <w:rsid w:val="00700410"/>
    <w:rsid w:val="00701341"/>
    <w:rsid w:val="00701598"/>
    <w:rsid w:val="00702013"/>
    <w:rsid w:val="00704A16"/>
    <w:rsid w:val="007059D3"/>
    <w:rsid w:val="007064EA"/>
    <w:rsid w:val="00707876"/>
    <w:rsid w:val="00707F8C"/>
    <w:rsid w:val="00711A4A"/>
    <w:rsid w:val="00712381"/>
    <w:rsid w:val="00713B48"/>
    <w:rsid w:val="00714FA3"/>
    <w:rsid w:val="00715CE5"/>
    <w:rsid w:val="007161B0"/>
    <w:rsid w:val="0071735E"/>
    <w:rsid w:val="00720DCB"/>
    <w:rsid w:val="0072112D"/>
    <w:rsid w:val="00721C86"/>
    <w:rsid w:val="00722642"/>
    <w:rsid w:val="007237EB"/>
    <w:rsid w:val="007242BC"/>
    <w:rsid w:val="00725092"/>
    <w:rsid w:val="00725178"/>
    <w:rsid w:val="00726805"/>
    <w:rsid w:val="0072742C"/>
    <w:rsid w:val="00727AAF"/>
    <w:rsid w:val="00730A6E"/>
    <w:rsid w:val="00730EDF"/>
    <w:rsid w:val="007315E5"/>
    <w:rsid w:val="00732B14"/>
    <w:rsid w:val="0073358E"/>
    <w:rsid w:val="00733D7E"/>
    <w:rsid w:val="00734BA9"/>
    <w:rsid w:val="00735C3A"/>
    <w:rsid w:val="00736D48"/>
    <w:rsid w:val="00736FF4"/>
    <w:rsid w:val="00737297"/>
    <w:rsid w:val="0073745F"/>
    <w:rsid w:val="00737A61"/>
    <w:rsid w:val="00741744"/>
    <w:rsid w:val="0074335E"/>
    <w:rsid w:val="007435D7"/>
    <w:rsid w:val="0074381B"/>
    <w:rsid w:val="007442DB"/>
    <w:rsid w:val="007448FE"/>
    <w:rsid w:val="0074501D"/>
    <w:rsid w:val="0074578B"/>
    <w:rsid w:val="007463C1"/>
    <w:rsid w:val="00746C53"/>
    <w:rsid w:val="007472C0"/>
    <w:rsid w:val="00747AFA"/>
    <w:rsid w:val="00747E15"/>
    <w:rsid w:val="0075013F"/>
    <w:rsid w:val="007513CD"/>
    <w:rsid w:val="00752150"/>
    <w:rsid w:val="007531F4"/>
    <w:rsid w:val="00753892"/>
    <w:rsid w:val="00753B38"/>
    <w:rsid w:val="007540CA"/>
    <w:rsid w:val="00754C84"/>
    <w:rsid w:val="00754F2E"/>
    <w:rsid w:val="0075723F"/>
    <w:rsid w:val="007573B2"/>
    <w:rsid w:val="00757497"/>
    <w:rsid w:val="0075761D"/>
    <w:rsid w:val="00760E4B"/>
    <w:rsid w:val="0076272D"/>
    <w:rsid w:val="00763D9D"/>
    <w:rsid w:val="00765259"/>
    <w:rsid w:val="007657BA"/>
    <w:rsid w:val="00765915"/>
    <w:rsid w:val="00765D7C"/>
    <w:rsid w:val="0076695D"/>
    <w:rsid w:val="00766CCB"/>
    <w:rsid w:val="0076759E"/>
    <w:rsid w:val="0076769C"/>
    <w:rsid w:val="00767B09"/>
    <w:rsid w:val="007702EC"/>
    <w:rsid w:val="00770873"/>
    <w:rsid w:val="0077128A"/>
    <w:rsid w:val="007715F5"/>
    <w:rsid w:val="00774193"/>
    <w:rsid w:val="0077466F"/>
    <w:rsid w:val="00775446"/>
    <w:rsid w:val="00775AC2"/>
    <w:rsid w:val="00776917"/>
    <w:rsid w:val="00776B94"/>
    <w:rsid w:val="007772D8"/>
    <w:rsid w:val="007810D0"/>
    <w:rsid w:val="0078152F"/>
    <w:rsid w:val="00782272"/>
    <w:rsid w:val="00786032"/>
    <w:rsid w:val="007860B6"/>
    <w:rsid w:val="0078772A"/>
    <w:rsid w:val="00790FC4"/>
    <w:rsid w:val="00791D6F"/>
    <w:rsid w:val="007928B4"/>
    <w:rsid w:val="00793243"/>
    <w:rsid w:val="0079357E"/>
    <w:rsid w:val="007938F7"/>
    <w:rsid w:val="00793E0C"/>
    <w:rsid w:val="00794190"/>
    <w:rsid w:val="00794CB2"/>
    <w:rsid w:val="00794D6A"/>
    <w:rsid w:val="007954FA"/>
    <w:rsid w:val="00796788"/>
    <w:rsid w:val="00797724"/>
    <w:rsid w:val="00797757"/>
    <w:rsid w:val="007A01FA"/>
    <w:rsid w:val="007A2B41"/>
    <w:rsid w:val="007A3609"/>
    <w:rsid w:val="007A36CD"/>
    <w:rsid w:val="007A5F10"/>
    <w:rsid w:val="007A6C88"/>
    <w:rsid w:val="007B2C17"/>
    <w:rsid w:val="007B33DD"/>
    <w:rsid w:val="007B4A68"/>
    <w:rsid w:val="007B4D41"/>
    <w:rsid w:val="007B4D61"/>
    <w:rsid w:val="007B5A21"/>
    <w:rsid w:val="007B632F"/>
    <w:rsid w:val="007B6B6B"/>
    <w:rsid w:val="007C0807"/>
    <w:rsid w:val="007C186E"/>
    <w:rsid w:val="007C1892"/>
    <w:rsid w:val="007C444F"/>
    <w:rsid w:val="007C4867"/>
    <w:rsid w:val="007C4B9D"/>
    <w:rsid w:val="007C5EB2"/>
    <w:rsid w:val="007C60CC"/>
    <w:rsid w:val="007C62DE"/>
    <w:rsid w:val="007D0AE7"/>
    <w:rsid w:val="007D1B84"/>
    <w:rsid w:val="007D1E2D"/>
    <w:rsid w:val="007D20E0"/>
    <w:rsid w:val="007D2A3E"/>
    <w:rsid w:val="007D398F"/>
    <w:rsid w:val="007D3DBA"/>
    <w:rsid w:val="007D41D8"/>
    <w:rsid w:val="007D4C55"/>
    <w:rsid w:val="007D5927"/>
    <w:rsid w:val="007D6F0C"/>
    <w:rsid w:val="007D76B7"/>
    <w:rsid w:val="007E0AF3"/>
    <w:rsid w:val="007E2459"/>
    <w:rsid w:val="007E294A"/>
    <w:rsid w:val="007E3300"/>
    <w:rsid w:val="007E4DFC"/>
    <w:rsid w:val="007E5549"/>
    <w:rsid w:val="007E5B01"/>
    <w:rsid w:val="007E5B4F"/>
    <w:rsid w:val="007E62B4"/>
    <w:rsid w:val="007E64A1"/>
    <w:rsid w:val="007E6FBD"/>
    <w:rsid w:val="007E7FE0"/>
    <w:rsid w:val="007F112B"/>
    <w:rsid w:val="007F19C1"/>
    <w:rsid w:val="007F20ED"/>
    <w:rsid w:val="007F2169"/>
    <w:rsid w:val="007F609D"/>
    <w:rsid w:val="00800154"/>
    <w:rsid w:val="00801863"/>
    <w:rsid w:val="0080206F"/>
    <w:rsid w:val="0080254D"/>
    <w:rsid w:val="00802F1C"/>
    <w:rsid w:val="00804576"/>
    <w:rsid w:val="00804E07"/>
    <w:rsid w:val="0080745F"/>
    <w:rsid w:val="00807533"/>
    <w:rsid w:val="0081167C"/>
    <w:rsid w:val="00811BEE"/>
    <w:rsid w:val="008120C8"/>
    <w:rsid w:val="008135A4"/>
    <w:rsid w:val="00813C11"/>
    <w:rsid w:val="008140C5"/>
    <w:rsid w:val="008142F0"/>
    <w:rsid w:val="00815D24"/>
    <w:rsid w:val="008169AC"/>
    <w:rsid w:val="00816B4E"/>
    <w:rsid w:val="00820029"/>
    <w:rsid w:val="00820113"/>
    <w:rsid w:val="00821330"/>
    <w:rsid w:val="008222AD"/>
    <w:rsid w:val="00822E2D"/>
    <w:rsid w:val="00823DB1"/>
    <w:rsid w:val="00824A2D"/>
    <w:rsid w:val="00824DC9"/>
    <w:rsid w:val="00826004"/>
    <w:rsid w:val="008278E3"/>
    <w:rsid w:val="00830AE1"/>
    <w:rsid w:val="00831A2B"/>
    <w:rsid w:val="00832177"/>
    <w:rsid w:val="008323D8"/>
    <w:rsid w:val="00832E2D"/>
    <w:rsid w:val="00835149"/>
    <w:rsid w:val="00835E3D"/>
    <w:rsid w:val="008366DB"/>
    <w:rsid w:val="008369AB"/>
    <w:rsid w:val="008374BB"/>
    <w:rsid w:val="008376F6"/>
    <w:rsid w:val="00840086"/>
    <w:rsid w:val="00841335"/>
    <w:rsid w:val="008423F4"/>
    <w:rsid w:val="00842CF8"/>
    <w:rsid w:val="008445D1"/>
    <w:rsid w:val="00844E8B"/>
    <w:rsid w:val="00845079"/>
    <w:rsid w:val="0084525B"/>
    <w:rsid w:val="008462F6"/>
    <w:rsid w:val="008463F9"/>
    <w:rsid w:val="00846946"/>
    <w:rsid w:val="00846A7A"/>
    <w:rsid w:val="008472A5"/>
    <w:rsid w:val="008474A8"/>
    <w:rsid w:val="0085136F"/>
    <w:rsid w:val="00851630"/>
    <w:rsid w:val="00851753"/>
    <w:rsid w:val="00851E39"/>
    <w:rsid w:val="00852359"/>
    <w:rsid w:val="00853712"/>
    <w:rsid w:val="00853865"/>
    <w:rsid w:val="00853F7C"/>
    <w:rsid w:val="0085424B"/>
    <w:rsid w:val="00854602"/>
    <w:rsid w:val="00855998"/>
    <w:rsid w:val="00855E54"/>
    <w:rsid w:val="008577A6"/>
    <w:rsid w:val="00857EEF"/>
    <w:rsid w:val="008620C3"/>
    <w:rsid w:val="0086367E"/>
    <w:rsid w:val="008636BC"/>
    <w:rsid w:val="008639A0"/>
    <w:rsid w:val="008639CB"/>
    <w:rsid w:val="00865832"/>
    <w:rsid w:val="00865A60"/>
    <w:rsid w:val="00865AC8"/>
    <w:rsid w:val="008668A7"/>
    <w:rsid w:val="0086690F"/>
    <w:rsid w:val="00866A1C"/>
    <w:rsid w:val="00866BA0"/>
    <w:rsid w:val="00867636"/>
    <w:rsid w:val="0086767E"/>
    <w:rsid w:val="00867CBF"/>
    <w:rsid w:val="00867CF8"/>
    <w:rsid w:val="00871266"/>
    <w:rsid w:val="00872667"/>
    <w:rsid w:val="00873591"/>
    <w:rsid w:val="008756FA"/>
    <w:rsid w:val="00876C33"/>
    <w:rsid w:val="008772C5"/>
    <w:rsid w:val="00880801"/>
    <w:rsid w:val="00881130"/>
    <w:rsid w:val="00881BD0"/>
    <w:rsid w:val="008835F0"/>
    <w:rsid w:val="008837D9"/>
    <w:rsid w:val="0088536E"/>
    <w:rsid w:val="00887087"/>
    <w:rsid w:val="0089221F"/>
    <w:rsid w:val="00892E87"/>
    <w:rsid w:val="00893350"/>
    <w:rsid w:val="008940C4"/>
    <w:rsid w:val="00894A80"/>
    <w:rsid w:val="00895376"/>
    <w:rsid w:val="0089582A"/>
    <w:rsid w:val="0089654A"/>
    <w:rsid w:val="00896EF1"/>
    <w:rsid w:val="00897849"/>
    <w:rsid w:val="00897B48"/>
    <w:rsid w:val="00897F13"/>
    <w:rsid w:val="008A07A3"/>
    <w:rsid w:val="008A159D"/>
    <w:rsid w:val="008A1D95"/>
    <w:rsid w:val="008A3AFB"/>
    <w:rsid w:val="008A515C"/>
    <w:rsid w:val="008B0E36"/>
    <w:rsid w:val="008B29EF"/>
    <w:rsid w:val="008B36AE"/>
    <w:rsid w:val="008B499B"/>
    <w:rsid w:val="008B5783"/>
    <w:rsid w:val="008B6A6F"/>
    <w:rsid w:val="008B7461"/>
    <w:rsid w:val="008B7A7F"/>
    <w:rsid w:val="008B7BA9"/>
    <w:rsid w:val="008C0877"/>
    <w:rsid w:val="008C0B9D"/>
    <w:rsid w:val="008C0E8E"/>
    <w:rsid w:val="008C2050"/>
    <w:rsid w:val="008C2241"/>
    <w:rsid w:val="008C261D"/>
    <w:rsid w:val="008C3D98"/>
    <w:rsid w:val="008C4356"/>
    <w:rsid w:val="008C45B1"/>
    <w:rsid w:val="008C504E"/>
    <w:rsid w:val="008C5104"/>
    <w:rsid w:val="008C5822"/>
    <w:rsid w:val="008C5C9A"/>
    <w:rsid w:val="008C64AA"/>
    <w:rsid w:val="008C78C6"/>
    <w:rsid w:val="008C7B35"/>
    <w:rsid w:val="008D0FE0"/>
    <w:rsid w:val="008D1CCF"/>
    <w:rsid w:val="008D2A12"/>
    <w:rsid w:val="008D30B9"/>
    <w:rsid w:val="008D59B6"/>
    <w:rsid w:val="008D62B9"/>
    <w:rsid w:val="008D7F5F"/>
    <w:rsid w:val="008D7F90"/>
    <w:rsid w:val="008D7FB8"/>
    <w:rsid w:val="008E059C"/>
    <w:rsid w:val="008E155C"/>
    <w:rsid w:val="008E2F67"/>
    <w:rsid w:val="008E4363"/>
    <w:rsid w:val="008E5602"/>
    <w:rsid w:val="008E592B"/>
    <w:rsid w:val="008E5B43"/>
    <w:rsid w:val="008E5E31"/>
    <w:rsid w:val="008F08F6"/>
    <w:rsid w:val="008F15EE"/>
    <w:rsid w:val="008F177A"/>
    <w:rsid w:val="008F1F9A"/>
    <w:rsid w:val="008F2737"/>
    <w:rsid w:val="008F28AE"/>
    <w:rsid w:val="008F2E5E"/>
    <w:rsid w:val="008F3ABE"/>
    <w:rsid w:val="008F3B17"/>
    <w:rsid w:val="008F5DDC"/>
    <w:rsid w:val="008F6089"/>
    <w:rsid w:val="008F643F"/>
    <w:rsid w:val="008F690E"/>
    <w:rsid w:val="00900955"/>
    <w:rsid w:val="00900D6D"/>
    <w:rsid w:val="00901555"/>
    <w:rsid w:val="0090213B"/>
    <w:rsid w:val="009037BA"/>
    <w:rsid w:val="009049C7"/>
    <w:rsid w:val="009051F8"/>
    <w:rsid w:val="009063A3"/>
    <w:rsid w:val="00911225"/>
    <w:rsid w:val="0091240E"/>
    <w:rsid w:val="009130E5"/>
    <w:rsid w:val="0091335E"/>
    <w:rsid w:val="00916E24"/>
    <w:rsid w:val="00917244"/>
    <w:rsid w:val="00917735"/>
    <w:rsid w:val="00917E3C"/>
    <w:rsid w:val="00917E77"/>
    <w:rsid w:val="00917FB5"/>
    <w:rsid w:val="00922124"/>
    <w:rsid w:val="00923850"/>
    <w:rsid w:val="0092540E"/>
    <w:rsid w:val="0092656E"/>
    <w:rsid w:val="009266F1"/>
    <w:rsid w:val="00927E54"/>
    <w:rsid w:val="00927ED1"/>
    <w:rsid w:val="00930095"/>
    <w:rsid w:val="00930DB3"/>
    <w:rsid w:val="00930E7C"/>
    <w:rsid w:val="00931630"/>
    <w:rsid w:val="00931F96"/>
    <w:rsid w:val="00932425"/>
    <w:rsid w:val="009370D7"/>
    <w:rsid w:val="0093793F"/>
    <w:rsid w:val="00937F8B"/>
    <w:rsid w:val="00940347"/>
    <w:rsid w:val="009406BE"/>
    <w:rsid w:val="00940C17"/>
    <w:rsid w:val="00940CFA"/>
    <w:rsid w:val="00941B70"/>
    <w:rsid w:val="00942FE4"/>
    <w:rsid w:val="009436F2"/>
    <w:rsid w:val="0094371B"/>
    <w:rsid w:val="00944F8E"/>
    <w:rsid w:val="009458EF"/>
    <w:rsid w:val="009464EB"/>
    <w:rsid w:val="00946666"/>
    <w:rsid w:val="00946A37"/>
    <w:rsid w:val="009477D5"/>
    <w:rsid w:val="009517EA"/>
    <w:rsid w:val="009521F5"/>
    <w:rsid w:val="00953475"/>
    <w:rsid w:val="00953DFD"/>
    <w:rsid w:val="00954931"/>
    <w:rsid w:val="0095521B"/>
    <w:rsid w:val="009571FE"/>
    <w:rsid w:val="00957FEB"/>
    <w:rsid w:val="0096056E"/>
    <w:rsid w:val="00961195"/>
    <w:rsid w:val="009625BE"/>
    <w:rsid w:val="0096518C"/>
    <w:rsid w:val="009670DF"/>
    <w:rsid w:val="009677E7"/>
    <w:rsid w:val="009678E9"/>
    <w:rsid w:val="0097143A"/>
    <w:rsid w:val="00971B88"/>
    <w:rsid w:val="00971C08"/>
    <w:rsid w:val="009726E5"/>
    <w:rsid w:val="009735D7"/>
    <w:rsid w:val="00973797"/>
    <w:rsid w:val="00973D3F"/>
    <w:rsid w:val="00975175"/>
    <w:rsid w:val="00975892"/>
    <w:rsid w:val="009802FC"/>
    <w:rsid w:val="00980536"/>
    <w:rsid w:val="00980D81"/>
    <w:rsid w:val="009815A8"/>
    <w:rsid w:val="009837B7"/>
    <w:rsid w:val="00984197"/>
    <w:rsid w:val="009841E1"/>
    <w:rsid w:val="00984D24"/>
    <w:rsid w:val="009853C7"/>
    <w:rsid w:val="009869CA"/>
    <w:rsid w:val="00986D1E"/>
    <w:rsid w:val="00986F0A"/>
    <w:rsid w:val="00987D43"/>
    <w:rsid w:val="00991948"/>
    <w:rsid w:val="00992DBF"/>
    <w:rsid w:val="00993E39"/>
    <w:rsid w:val="009949B3"/>
    <w:rsid w:val="009950FD"/>
    <w:rsid w:val="00997B18"/>
    <w:rsid w:val="00997D00"/>
    <w:rsid w:val="009A0956"/>
    <w:rsid w:val="009A152B"/>
    <w:rsid w:val="009A17D9"/>
    <w:rsid w:val="009A1CD3"/>
    <w:rsid w:val="009A3ABE"/>
    <w:rsid w:val="009A4745"/>
    <w:rsid w:val="009A48C7"/>
    <w:rsid w:val="009A53EA"/>
    <w:rsid w:val="009A67AE"/>
    <w:rsid w:val="009A6D2E"/>
    <w:rsid w:val="009A7896"/>
    <w:rsid w:val="009B0DC4"/>
    <w:rsid w:val="009B279C"/>
    <w:rsid w:val="009B638E"/>
    <w:rsid w:val="009B6709"/>
    <w:rsid w:val="009B796A"/>
    <w:rsid w:val="009C004A"/>
    <w:rsid w:val="009C1208"/>
    <w:rsid w:val="009C15CB"/>
    <w:rsid w:val="009C1DE5"/>
    <w:rsid w:val="009C3050"/>
    <w:rsid w:val="009C3EDA"/>
    <w:rsid w:val="009C4F16"/>
    <w:rsid w:val="009C5C01"/>
    <w:rsid w:val="009C6FBA"/>
    <w:rsid w:val="009C70B6"/>
    <w:rsid w:val="009D0A30"/>
    <w:rsid w:val="009D106C"/>
    <w:rsid w:val="009D12A7"/>
    <w:rsid w:val="009D1C34"/>
    <w:rsid w:val="009D1C66"/>
    <w:rsid w:val="009D228E"/>
    <w:rsid w:val="009D364D"/>
    <w:rsid w:val="009D3E11"/>
    <w:rsid w:val="009D4831"/>
    <w:rsid w:val="009D4A8E"/>
    <w:rsid w:val="009D7150"/>
    <w:rsid w:val="009D7EDF"/>
    <w:rsid w:val="009E07D3"/>
    <w:rsid w:val="009E1DFE"/>
    <w:rsid w:val="009E2371"/>
    <w:rsid w:val="009E30D1"/>
    <w:rsid w:val="009E4939"/>
    <w:rsid w:val="009E4974"/>
    <w:rsid w:val="009E7347"/>
    <w:rsid w:val="009E736E"/>
    <w:rsid w:val="009E7B1B"/>
    <w:rsid w:val="009F0F56"/>
    <w:rsid w:val="009F2526"/>
    <w:rsid w:val="009F3E00"/>
    <w:rsid w:val="009F614E"/>
    <w:rsid w:val="00A00FE9"/>
    <w:rsid w:val="00A020A4"/>
    <w:rsid w:val="00A041AA"/>
    <w:rsid w:val="00A044A4"/>
    <w:rsid w:val="00A044AF"/>
    <w:rsid w:val="00A0595D"/>
    <w:rsid w:val="00A07047"/>
    <w:rsid w:val="00A115D1"/>
    <w:rsid w:val="00A11808"/>
    <w:rsid w:val="00A11DC3"/>
    <w:rsid w:val="00A12322"/>
    <w:rsid w:val="00A13A3C"/>
    <w:rsid w:val="00A1456B"/>
    <w:rsid w:val="00A15FF5"/>
    <w:rsid w:val="00A177F7"/>
    <w:rsid w:val="00A17A8A"/>
    <w:rsid w:val="00A21FC7"/>
    <w:rsid w:val="00A23F63"/>
    <w:rsid w:val="00A242C0"/>
    <w:rsid w:val="00A24692"/>
    <w:rsid w:val="00A256F1"/>
    <w:rsid w:val="00A25923"/>
    <w:rsid w:val="00A25DC3"/>
    <w:rsid w:val="00A2690A"/>
    <w:rsid w:val="00A26B72"/>
    <w:rsid w:val="00A2706F"/>
    <w:rsid w:val="00A27A32"/>
    <w:rsid w:val="00A27B1A"/>
    <w:rsid w:val="00A30690"/>
    <w:rsid w:val="00A30786"/>
    <w:rsid w:val="00A30844"/>
    <w:rsid w:val="00A30E3A"/>
    <w:rsid w:val="00A31075"/>
    <w:rsid w:val="00A316E7"/>
    <w:rsid w:val="00A31C1D"/>
    <w:rsid w:val="00A3223F"/>
    <w:rsid w:val="00A3258A"/>
    <w:rsid w:val="00A32BA3"/>
    <w:rsid w:val="00A32E00"/>
    <w:rsid w:val="00A32F63"/>
    <w:rsid w:val="00A35AAC"/>
    <w:rsid w:val="00A35C50"/>
    <w:rsid w:val="00A36049"/>
    <w:rsid w:val="00A36BAB"/>
    <w:rsid w:val="00A37356"/>
    <w:rsid w:val="00A41B48"/>
    <w:rsid w:val="00A41D6C"/>
    <w:rsid w:val="00A41E1F"/>
    <w:rsid w:val="00A425F7"/>
    <w:rsid w:val="00A42725"/>
    <w:rsid w:val="00A44B65"/>
    <w:rsid w:val="00A451ED"/>
    <w:rsid w:val="00A46130"/>
    <w:rsid w:val="00A464C5"/>
    <w:rsid w:val="00A50450"/>
    <w:rsid w:val="00A5091E"/>
    <w:rsid w:val="00A516AD"/>
    <w:rsid w:val="00A51EBF"/>
    <w:rsid w:val="00A5260E"/>
    <w:rsid w:val="00A5440A"/>
    <w:rsid w:val="00A54E81"/>
    <w:rsid w:val="00A55445"/>
    <w:rsid w:val="00A55E6F"/>
    <w:rsid w:val="00A601C0"/>
    <w:rsid w:val="00A607E6"/>
    <w:rsid w:val="00A6176B"/>
    <w:rsid w:val="00A62D72"/>
    <w:rsid w:val="00A631A2"/>
    <w:rsid w:val="00A63346"/>
    <w:rsid w:val="00A6376E"/>
    <w:rsid w:val="00A638C8"/>
    <w:rsid w:val="00A644D1"/>
    <w:rsid w:val="00A64FA6"/>
    <w:rsid w:val="00A64FEE"/>
    <w:rsid w:val="00A653AB"/>
    <w:rsid w:val="00A70F74"/>
    <w:rsid w:val="00A70FBD"/>
    <w:rsid w:val="00A71A78"/>
    <w:rsid w:val="00A71C22"/>
    <w:rsid w:val="00A72176"/>
    <w:rsid w:val="00A72636"/>
    <w:rsid w:val="00A737FA"/>
    <w:rsid w:val="00A73A6C"/>
    <w:rsid w:val="00A75C13"/>
    <w:rsid w:val="00A75F90"/>
    <w:rsid w:val="00A76486"/>
    <w:rsid w:val="00A76D7B"/>
    <w:rsid w:val="00A77D4D"/>
    <w:rsid w:val="00A77F25"/>
    <w:rsid w:val="00A80779"/>
    <w:rsid w:val="00A807E5"/>
    <w:rsid w:val="00A80C86"/>
    <w:rsid w:val="00A81051"/>
    <w:rsid w:val="00A81A0E"/>
    <w:rsid w:val="00A8228A"/>
    <w:rsid w:val="00A82F52"/>
    <w:rsid w:val="00A838C0"/>
    <w:rsid w:val="00A84238"/>
    <w:rsid w:val="00A8475B"/>
    <w:rsid w:val="00A849B2"/>
    <w:rsid w:val="00A8717C"/>
    <w:rsid w:val="00A87C62"/>
    <w:rsid w:val="00A87C77"/>
    <w:rsid w:val="00A87F15"/>
    <w:rsid w:val="00A906B0"/>
    <w:rsid w:val="00A91C3C"/>
    <w:rsid w:val="00A92B94"/>
    <w:rsid w:val="00A93195"/>
    <w:rsid w:val="00A944B3"/>
    <w:rsid w:val="00A94960"/>
    <w:rsid w:val="00A95684"/>
    <w:rsid w:val="00A95824"/>
    <w:rsid w:val="00A95B67"/>
    <w:rsid w:val="00A96B5E"/>
    <w:rsid w:val="00AA03C3"/>
    <w:rsid w:val="00AA074D"/>
    <w:rsid w:val="00AA1027"/>
    <w:rsid w:val="00AA115C"/>
    <w:rsid w:val="00AA2F34"/>
    <w:rsid w:val="00AA3727"/>
    <w:rsid w:val="00AA407E"/>
    <w:rsid w:val="00AA74A5"/>
    <w:rsid w:val="00AA7D0C"/>
    <w:rsid w:val="00AB0547"/>
    <w:rsid w:val="00AB14D8"/>
    <w:rsid w:val="00AB2898"/>
    <w:rsid w:val="00AB4684"/>
    <w:rsid w:val="00AB5400"/>
    <w:rsid w:val="00AB5B25"/>
    <w:rsid w:val="00AB7AEA"/>
    <w:rsid w:val="00AC1E12"/>
    <w:rsid w:val="00AC4E9A"/>
    <w:rsid w:val="00AC57BB"/>
    <w:rsid w:val="00AC6448"/>
    <w:rsid w:val="00AC7614"/>
    <w:rsid w:val="00AD02B7"/>
    <w:rsid w:val="00AD1A80"/>
    <w:rsid w:val="00AD1D64"/>
    <w:rsid w:val="00AD2427"/>
    <w:rsid w:val="00AD2AD0"/>
    <w:rsid w:val="00AD3AC6"/>
    <w:rsid w:val="00AD474A"/>
    <w:rsid w:val="00AD604E"/>
    <w:rsid w:val="00AD7477"/>
    <w:rsid w:val="00AE0894"/>
    <w:rsid w:val="00AE0DEB"/>
    <w:rsid w:val="00AE3971"/>
    <w:rsid w:val="00AE3F9B"/>
    <w:rsid w:val="00AE4413"/>
    <w:rsid w:val="00AE5638"/>
    <w:rsid w:val="00AE578A"/>
    <w:rsid w:val="00AE5921"/>
    <w:rsid w:val="00AE648D"/>
    <w:rsid w:val="00AE7380"/>
    <w:rsid w:val="00AE7A6F"/>
    <w:rsid w:val="00AF0101"/>
    <w:rsid w:val="00AF0690"/>
    <w:rsid w:val="00AF0998"/>
    <w:rsid w:val="00AF3283"/>
    <w:rsid w:val="00AF39EF"/>
    <w:rsid w:val="00AF66B0"/>
    <w:rsid w:val="00AF674F"/>
    <w:rsid w:val="00AF6B33"/>
    <w:rsid w:val="00B019CE"/>
    <w:rsid w:val="00B04F25"/>
    <w:rsid w:val="00B05371"/>
    <w:rsid w:val="00B05DD1"/>
    <w:rsid w:val="00B119B5"/>
    <w:rsid w:val="00B13305"/>
    <w:rsid w:val="00B16100"/>
    <w:rsid w:val="00B16EFA"/>
    <w:rsid w:val="00B17742"/>
    <w:rsid w:val="00B21B8E"/>
    <w:rsid w:val="00B21BFF"/>
    <w:rsid w:val="00B21CDA"/>
    <w:rsid w:val="00B22493"/>
    <w:rsid w:val="00B226BD"/>
    <w:rsid w:val="00B22BE2"/>
    <w:rsid w:val="00B22F7C"/>
    <w:rsid w:val="00B23EF2"/>
    <w:rsid w:val="00B23F78"/>
    <w:rsid w:val="00B258BA"/>
    <w:rsid w:val="00B25B5E"/>
    <w:rsid w:val="00B266EB"/>
    <w:rsid w:val="00B273E9"/>
    <w:rsid w:val="00B302BF"/>
    <w:rsid w:val="00B30988"/>
    <w:rsid w:val="00B30E2C"/>
    <w:rsid w:val="00B30E8D"/>
    <w:rsid w:val="00B31AC5"/>
    <w:rsid w:val="00B31B68"/>
    <w:rsid w:val="00B31C2D"/>
    <w:rsid w:val="00B330E5"/>
    <w:rsid w:val="00B3379C"/>
    <w:rsid w:val="00B35ACD"/>
    <w:rsid w:val="00B3616D"/>
    <w:rsid w:val="00B36657"/>
    <w:rsid w:val="00B36777"/>
    <w:rsid w:val="00B36D83"/>
    <w:rsid w:val="00B373C5"/>
    <w:rsid w:val="00B37ACB"/>
    <w:rsid w:val="00B37E75"/>
    <w:rsid w:val="00B4099C"/>
    <w:rsid w:val="00B40C86"/>
    <w:rsid w:val="00B40CDC"/>
    <w:rsid w:val="00B40E9E"/>
    <w:rsid w:val="00B41A9A"/>
    <w:rsid w:val="00B41E20"/>
    <w:rsid w:val="00B42129"/>
    <w:rsid w:val="00B440B0"/>
    <w:rsid w:val="00B45A2A"/>
    <w:rsid w:val="00B467E8"/>
    <w:rsid w:val="00B46B15"/>
    <w:rsid w:val="00B503DC"/>
    <w:rsid w:val="00B50652"/>
    <w:rsid w:val="00B509F4"/>
    <w:rsid w:val="00B50CC3"/>
    <w:rsid w:val="00B50F72"/>
    <w:rsid w:val="00B51FEE"/>
    <w:rsid w:val="00B52342"/>
    <w:rsid w:val="00B52A2E"/>
    <w:rsid w:val="00B5399D"/>
    <w:rsid w:val="00B54142"/>
    <w:rsid w:val="00B55060"/>
    <w:rsid w:val="00B562AA"/>
    <w:rsid w:val="00B5669E"/>
    <w:rsid w:val="00B61B13"/>
    <w:rsid w:val="00B62926"/>
    <w:rsid w:val="00B63C8A"/>
    <w:rsid w:val="00B65457"/>
    <w:rsid w:val="00B6617E"/>
    <w:rsid w:val="00B6639C"/>
    <w:rsid w:val="00B663FA"/>
    <w:rsid w:val="00B671E5"/>
    <w:rsid w:val="00B6799B"/>
    <w:rsid w:val="00B70038"/>
    <w:rsid w:val="00B701DA"/>
    <w:rsid w:val="00B701E8"/>
    <w:rsid w:val="00B70B03"/>
    <w:rsid w:val="00B743DC"/>
    <w:rsid w:val="00B74EEA"/>
    <w:rsid w:val="00B74FB4"/>
    <w:rsid w:val="00B751B8"/>
    <w:rsid w:val="00B75938"/>
    <w:rsid w:val="00B7644F"/>
    <w:rsid w:val="00B76E0F"/>
    <w:rsid w:val="00B7729B"/>
    <w:rsid w:val="00B802FC"/>
    <w:rsid w:val="00B80FC0"/>
    <w:rsid w:val="00B81E86"/>
    <w:rsid w:val="00B836AA"/>
    <w:rsid w:val="00B83ACD"/>
    <w:rsid w:val="00B84115"/>
    <w:rsid w:val="00B84E6B"/>
    <w:rsid w:val="00B855D0"/>
    <w:rsid w:val="00B877A8"/>
    <w:rsid w:val="00B9031D"/>
    <w:rsid w:val="00B90436"/>
    <w:rsid w:val="00B90B18"/>
    <w:rsid w:val="00B90EA7"/>
    <w:rsid w:val="00B915CC"/>
    <w:rsid w:val="00B93A4F"/>
    <w:rsid w:val="00B94343"/>
    <w:rsid w:val="00B9588D"/>
    <w:rsid w:val="00B95EF8"/>
    <w:rsid w:val="00B9688F"/>
    <w:rsid w:val="00B97E99"/>
    <w:rsid w:val="00BA0C74"/>
    <w:rsid w:val="00BA100A"/>
    <w:rsid w:val="00BA2D44"/>
    <w:rsid w:val="00BA49A8"/>
    <w:rsid w:val="00BA5F35"/>
    <w:rsid w:val="00BA6563"/>
    <w:rsid w:val="00BA67A6"/>
    <w:rsid w:val="00BA69B6"/>
    <w:rsid w:val="00BA6B55"/>
    <w:rsid w:val="00BA6F0B"/>
    <w:rsid w:val="00BA79B5"/>
    <w:rsid w:val="00BA7A5C"/>
    <w:rsid w:val="00BB0316"/>
    <w:rsid w:val="00BB0A9C"/>
    <w:rsid w:val="00BB0E79"/>
    <w:rsid w:val="00BB12D8"/>
    <w:rsid w:val="00BB2495"/>
    <w:rsid w:val="00BB2645"/>
    <w:rsid w:val="00BB30F3"/>
    <w:rsid w:val="00BB32E9"/>
    <w:rsid w:val="00BB4A09"/>
    <w:rsid w:val="00BB4DB3"/>
    <w:rsid w:val="00BB5A2B"/>
    <w:rsid w:val="00BB5E01"/>
    <w:rsid w:val="00BB6523"/>
    <w:rsid w:val="00BB6AC9"/>
    <w:rsid w:val="00BB6EF2"/>
    <w:rsid w:val="00BB71A5"/>
    <w:rsid w:val="00BB7E35"/>
    <w:rsid w:val="00BC0D27"/>
    <w:rsid w:val="00BC1250"/>
    <w:rsid w:val="00BC1EF5"/>
    <w:rsid w:val="00BC25ED"/>
    <w:rsid w:val="00BC2D4B"/>
    <w:rsid w:val="00BC3B8F"/>
    <w:rsid w:val="00BC3DED"/>
    <w:rsid w:val="00BC4C3C"/>
    <w:rsid w:val="00BC79A6"/>
    <w:rsid w:val="00BD0A4A"/>
    <w:rsid w:val="00BD174F"/>
    <w:rsid w:val="00BD4DD5"/>
    <w:rsid w:val="00BD57A4"/>
    <w:rsid w:val="00BD5D70"/>
    <w:rsid w:val="00BD6262"/>
    <w:rsid w:val="00BD68C4"/>
    <w:rsid w:val="00BD6E2A"/>
    <w:rsid w:val="00BD790C"/>
    <w:rsid w:val="00BD7BB3"/>
    <w:rsid w:val="00BE00EA"/>
    <w:rsid w:val="00BE0806"/>
    <w:rsid w:val="00BE14E7"/>
    <w:rsid w:val="00BE2ED6"/>
    <w:rsid w:val="00BE3AD2"/>
    <w:rsid w:val="00BE3CEC"/>
    <w:rsid w:val="00BE4287"/>
    <w:rsid w:val="00BE48F5"/>
    <w:rsid w:val="00BE4A24"/>
    <w:rsid w:val="00BE4B89"/>
    <w:rsid w:val="00BE566D"/>
    <w:rsid w:val="00BE7BF2"/>
    <w:rsid w:val="00BF0A3D"/>
    <w:rsid w:val="00BF0E45"/>
    <w:rsid w:val="00BF1F6A"/>
    <w:rsid w:val="00BF29BD"/>
    <w:rsid w:val="00BF31B5"/>
    <w:rsid w:val="00BF3BAC"/>
    <w:rsid w:val="00BF5791"/>
    <w:rsid w:val="00BF614B"/>
    <w:rsid w:val="00BF740E"/>
    <w:rsid w:val="00BF7938"/>
    <w:rsid w:val="00C00668"/>
    <w:rsid w:val="00C00811"/>
    <w:rsid w:val="00C00A32"/>
    <w:rsid w:val="00C014CB"/>
    <w:rsid w:val="00C01D86"/>
    <w:rsid w:val="00C04CF8"/>
    <w:rsid w:val="00C05119"/>
    <w:rsid w:val="00C07D87"/>
    <w:rsid w:val="00C115ED"/>
    <w:rsid w:val="00C11CAD"/>
    <w:rsid w:val="00C11DFE"/>
    <w:rsid w:val="00C11FDA"/>
    <w:rsid w:val="00C12BBB"/>
    <w:rsid w:val="00C16DA4"/>
    <w:rsid w:val="00C21CE7"/>
    <w:rsid w:val="00C21DA0"/>
    <w:rsid w:val="00C21FFE"/>
    <w:rsid w:val="00C22A26"/>
    <w:rsid w:val="00C24339"/>
    <w:rsid w:val="00C24DEB"/>
    <w:rsid w:val="00C253EF"/>
    <w:rsid w:val="00C26D66"/>
    <w:rsid w:val="00C27710"/>
    <w:rsid w:val="00C27CB7"/>
    <w:rsid w:val="00C328E2"/>
    <w:rsid w:val="00C329C8"/>
    <w:rsid w:val="00C3354A"/>
    <w:rsid w:val="00C335D9"/>
    <w:rsid w:val="00C34186"/>
    <w:rsid w:val="00C34C7B"/>
    <w:rsid w:val="00C35879"/>
    <w:rsid w:val="00C3596D"/>
    <w:rsid w:val="00C372F4"/>
    <w:rsid w:val="00C40882"/>
    <w:rsid w:val="00C41426"/>
    <w:rsid w:val="00C42C36"/>
    <w:rsid w:val="00C43B97"/>
    <w:rsid w:val="00C44433"/>
    <w:rsid w:val="00C44587"/>
    <w:rsid w:val="00C4738D"/>
    <w:rsid w:val="00C500C7"/>
    <w:rsid w:val="00C50B7C"/>
    <w:rsid w:val="00C513AB"/>
    <w:rsid w:val="00C52608"/>
    <w:rsid w:val="00C529D9"/>
    <w:rsid w:val="00C53375"/>
    <w:rsid w:val="00C53AB6"/>
    <w:rsid w:val="00C5463E"/>
    <w:rsid w:val="00C554AD"/>
    <w:rsid w:val="00C55D11"/>
    <w:rsid w:val="00C55D5E"/>
    <w:rsid w:val="00C56056"/>
    <w:rsid w:val="00C578FF"/>
    <w:rsid w:val="00C60390"/>
    <w:rsid w:val="00C60685"/>
    <w:rsid w:val="00C6079A"/>
    <w:rsid w:val="00C611DE"/>
    <w:rsid w:val="00C612CF"/>
    <w:rsid w:val="00C61381"/>
    <w:rsid w:val="00C6238A"/>
    <w:rsid w:val="00C62C5D"/>
    <w:rsid w:val="00C65F72"/>
    <w:rsid w:val="00C66B59"/>
    <w:rsid w:val="00C67E47"/>
    <w:rsid w:val="00C70EB1"/>
    <w:rsid w:val="00C72706"/>
    <w:rsid w:val="00C72D5F"/>
    <w:rsid w:val="00C73064"/>
    <w:rsid w:val="00C735F1"/>
    <w:rsid w:val="00C73C52"/>
    <w:rsid w:val="00C740F0"/>
    <w:rsid w:val="00C74254"/>
    <w:rsid w:val="00C74F17"/>
    <w:rsid w:val="00C758AE"/>
    <w:rsid w:val="00C76B3E"/>
    <w:rsid w:val="00C76E15"/>
    <w:rsid w:val="00C77620"/>
    <w:rsid w:val="00C8033C"/>
    <w:rsid w:val="00C806F5"/>
    <w:rsid w:val="00C80C6A"/>
    <w:rsid w:val="00C8173B"/>
    <w:rsid w:val="00C81B15"/>
    <w:rsid w:val="00C82207"/>
    <w:rsid w:val="00C82C24"/>
    <w:rsid w:val="00C833BA"/>
    <w:rsid w:val="00C83815"/>
    <w:rsid w:val="00C83EAE"/>
    <w:rsid w:val="00C85CBA"/>
    <w:rsid w:val="00C863CE"/>
    <w:rsid w:val="00C86634"/>
    <w:rsid w:val="00C86A14"/>
    <w:rsid w:val="00C900BF"/>
    <w:rsid w:val="00C90653"/>
    <w:rsid w:val="00C90A8B"/>
    <w:rsid w:val="00C90E2C"/>
    <w:rsid w:val="00C91ADB"/>
    <w:rsid w:val="00C91BD8"/>
    <w:rsid w:val="00C92802"/>
    <w:rsid w:val="00C93266"/>
    <w:rsid w:val="00C93B04"/>
    <w:rsid w:val="00C941BD"/>
    <w:rsid w:val="00C94DD6"/>
    <w:rsid w:val="00C94DFD"/>
    <w:rsid w:val="00C94E66"/>
    <w:rsid w:val="00C95030"/>
    <w:rsid w:val="00C95782"/>
    <w:rsid w:val="00C979F0"/>
    <w:rsid w:val="00C97BFD"/>
    <w:rsid w:val="00CA0BD6"/>
    <w:rsid w:val="00CA20A6"/>
    <w:rsid w:val="00CA20E7"/>
    <w:rsid w:val="00CA282D"/>
    <w:rsid w:val="00CA3C2B"/>
    <w:rsid w:val="00CA3F59"/>
    <w:rsid w:val="00CA447D"/>
    <w:rsid w:val="00CA5492"/>
    <w:rsid w:val="00CA5FFA"/>
    <w:rsid w:val="00CA6E20"/>
    <w:rsid w:val="00CA7FBF"/>
    <w:rsid w:val="00CB2769"/>
    <w:rsid w:val="00CB2C7C"/>
    <w:rsid w:val="00CB3575"/>
    <w:rsid w:val="00CB50AA"/>
    <w:rsid w:val="00CB5D5C"/>
    <w:rsid w:val="00CB7A36"/>
    <w:rsid w:val="00CC0752"/>
    <w:rsid w:val="00CC1AC8"/>
    <w:rsid w:val="00CC1FEE"/>
    <w:rsid w:val="00CC241D"/>
    <w:rsid w:val="00CC25C8"/>
    <w:rsid w:val="00CC2AB6"/>
    <w:rsid w:val="00CC47F0"/>
    <w:rsid w:val="00CC517A"/>
    <w:rsid w:val="00CC59F4"/>
    <w:rsid w:val="00CC6491"/>
    <w:rsid w:val="00CD1146"/>
    <w:rsid w:val="00CD28B2"/>
    <w:rsid w:val="00CD38C5"/>
    <w:rsid w:val="00CD5738"/>
    <w:rsid w:val="00CD5F9E"/>
    <w:rsid w:val="00CD68AE"/>
    <w:rsid w:val="00CD7AC7"/>
    <w:rsid w:val="00CE1352"/>
    <w:rsid w:val="00CE15F6"/>
    <w:rsid w:val="00CE204E"/>
    <w:rsid w:val="00CE2580"/>
    <w:rsid w:val="00CE2A24"/>
    <w:rsid w:val="00CE49EE"/>
    <w:rsid w:val="00CE4E33"/>
    <w:rsid w:val="00CE4FA2"/>
    <w:rsid w:val="00CE4FFB"/>
    <w:rsid w:val="00CE539E"/>
    <w:rsid w:val="00CE546E"/>
    <w:rsid w:val="00CE6314"/>
    <w:rsid w:val="00CE65E9"/>
    <w:rsid w:val="00CF07AB"/>
    <w:rsid w:val="00CF08AE"/>
    <w:rsid w:val="00CF0C06"/>
    <w:rsid w:val="00CF229C"/>
    <w:rsid w:val="00CF23A7"/>
    <w:rsid w:val="00CF34EB"/>
    <w:rsid w:val="00CF3B61"/>
    <w:rsid w:val="00CF5E56"/>
    <w:rsid w:val="00CF6C0C"/>
    <w:rsid w:val="00CF76E3"/>
    <w:rsid w:val="00CF7E77"/>
    <w:rsid w:val="00D00B90"/>
    <w:rsid w:val="00D04013"/>
    <w:rsid w:val="00D059F2"/>
    <w:rsid w:val="00D0603B"/>
    <w:rsid w:val="00D069CA"/>
    <w:rsid w:val="00D06D65"/>
    <w:rsid w:val="00D07A64"/>
    <w:rsid w:val="00D10267"/>
    <w:rsid w:val="00D1191B"/>
    <w:rsid w:val="00D11AF0"/>
    <w:rsid w:val="00D12698"/>
    <w:rsid w:val="00D1332C"/>
    <w:rsid w:val="00D13437"/>
    <w:rsid w:val="00D138E8"/>
    <w:rsid w:val="00D139F2"/>
    <w:rsid w:val="00D142DF"/>
    <w:rsid w:val="00D14D97"/>
    <w:rsid w:val="00D14DFD"/>
    <w:rsid w:val="00D14EC2"/>
    <w:rsid w:val="00D14FC2"/>
    <w:rsid w:val="00D154A2"/>
    <w:rsid w:val="00D20803"/>
    <w:rsid w:val="00D20C20"/>
    <w:rsid w:val="00D213E6"/>
    <w:rsid w:val="00D2406E"/>
    <w:rsid w:val="00D243FD"/>
    <w:rsid w:val="00D248DC"/>
    <w:rsid w:val="00D2491C"/>
    <w:rsid w:val="00D260B5"/>
    <w:rsid w:val="00D26213"/>
    <w:rsid w:val="00D26577"/>
    <w:rsid w:val="00D26904"/>
    <w:rsid w:val="00D274F3"/>
    <w:rsid w:val="00D275B5"/>
    <w:rsid w:val="00D27E67"/>
    <w:rsid w:val="00D30896"/>
    <w:rsid w:val="00D30A2A"/>
    <w:rsid w:val="00D311EB"/>
    <w:rsid w:val="00D3311D"/>
    <w:rsid w:val="00D33588"/>
    <w:rsid w:val="00D3442E"/>
    <w:rsid w:val="00D345B8"/>
    <w:rsid w:val="00D35324"/>
    <w:rsid w:val="00D35E03"/>
    <w:rsid w:val="00D36117"/>
    <w:rsid w:val="00D373D8"/>
    <w:rsid w:val="00D375DE"/>
    <w:rsid w:val="00D4142C"/>
    <w:rsid w:val="00D4170E"/>
    <w:rsid w:val="00D42042"/>
    <w:rsid w:val="00D43789"/>
    <w:rsid w:val="00D43B20"/>
    <w:rsid w:val="00D43DE3"/>
    <w:rsid w:val="00D44A20"/>
    <w:rsid w:val="00D46831"/>
    <w:rsid w:val="00D47487"/>
    <w:rsid w:val="00D47564"/>
    <w:rsid w:val="00D51072"/>
    <w:rsid w:val="00D520F8"/>
    <w:rsid w:val="00D5235E"/>
    <w:rsid w:val="00D523EF"/>
    <w:rsid w:val="00D52769"/>
    <w:rsid w:val="00D531F7"/>
    <w:rsid w:val="00D532D1"/>
    <w:rsid w:val="00D53A94"/>
    <w:rsid w:val="00D547AC"/>
    <w:rsid w:val="00D54A74"/>
    <w:rsid w:val="00D54AAB"/>
    <w:rsid w:val="00D56271"/>
    <w:rsid w:val="00D575EE"/>
    <w:rsid w:val="00D57FA4"/>
    <w:rsid w:val="00D60C1E"/>
    <w:rsid w:val="00D60C2D"/>
    <w:rsid w:val="00D63B59"/>
    <w:rsid w:val="00D63FBE"/>
    <w:rsid w:val="00D64019"/>
    <w:rsid w:val="00D64291"/>
    <w:rsid w:val="00D64467"/>
    <w:rsid w:val="00D65F6D"/>
    <w:rsid w:val="00D662A7"/>
    <w:rsid w:val="00D67CFA"/>
    <w:rsid w:val="00D70533"/>
    <w:rsid w:val="00D70883"/>
    <w:rsid w:val="00D70BDD"/>
    <w:rsid w:val="00D712EF"/>
    <w:rsid w:val="00D73104"/>
    <w:rsid w:val="00D732CE"/>
    <w:rsid w:val="00D735B5"/>
    <w:rsid w:val="00D74B3D"/>
    <w:rsid w:val="00D74F5B"/>
    <w:rsid w:val="00D750B2"/>
    <w:rsid w:val="00D75A05"/>
    <w:rsid w:val="00D76F8E"/>
    <w:rsid w:val="00D77A95"/>
    <w:rsid w:val="00D80C7C"/>
    <w:rsid w:val="00D80F28"/>
    <w:rsid w:val="00D825AC"/>
    <w:rsid w:val="00D82CC1"/>
    <w:rsid w:val="00D83375"/>
    <w:rsid w:val="00D833F4"/>
    <w:rsid w:val="00D83A54"/>
    <w:rsid w:val="00D83B0B"/>
    <w:rsid w:val="00D83CE0"/>
    <w:rsid w:val="00D84FE0"/>
    <w:rsid w:val="00D850DB"/>
    <w:rsid w:val="00D868BA"/>
    <w:rsid w:val="00D86D6B"/>
    <w:rsid w:val="00D90A17"/>
    <w:rsid w:val="00D90CFF"/>
    <w:rsid w:val="00D9122E"/>
    <w:rsid w:val="00D916CF"/>
    <w:rsid w:val="00D925EB"/>
    <w:rsid w:val="00D927A3"/>
    <w:rsid w:val="00D93660"/>
    <w:rsid w:val="00D93830"/>
    <w:rsid w:val="00D93AD4"/>
    <w:rsid w:val="00D93C72"/>
    <w:rsid w:val="00D93DF1"/>
    <w:rsid w:val="00D949D9"/>
    <w:rsid w:val="00D95353"/>
    <w:rsid w:val="00D9648C"/>
    <w:rsid w:val="00DA0096"/>
    <w:rsid w:val="00DA08A5"/>
    <w:rsid w:val="00DA2855"/>
    <w:rsid w:val="00DA2EC8"/>
    <w:rsid w:val="00DA3CA6"/>
    <w:rsid w:val="00DA403E"/>
    <w:rsid w:val="00DA5052"/>
    <w:rsid w:val="00DA7CCC"/>
    <w:rsid w:val="00DB068C"/>
    <w:rsid w:val="00DB09A5"/>
    <w:rsid w:val="00DB1975"/>
    <w:rsid w:val="00DB2675"/>
    <w:rsid w:val="00DB27A7"/>
    <w:rsid w:val="00DB40D2"/>
    <w:rsid w:val="00DB4B7C"/>
    <w:rsid w:val="00DB50B6"/>
    <w:rsid w:val="00DB5827"/>
    <w:rsid w:val="00DB7C12"/>
    <w:rsid w:val="00DC057E"/>
    <w:rsid w:val="00DC15BD"/>
    <w:rsid w:val="00DC18B6"/>
    <w:rsid w:val="00DC2125"/>
    <w:rsid w:val="00DC234C"/>
    <w:rsid w:val="00DC38BB"/>
    <w:rsid w:val="00DC402D"/>
    <w:rsid w:val="00DC59EC"/>
    <w:rsid w:val="00DC6EDE"/>
    <w:rsid w:val="00DC70BE"/>
    <w:rsid w:val="00DD1F44"/>
    <w:rsid w:val="00DD2E08"/>
    <w:rsid w:val="00DD41A8"/>
    <w:rsid w:val="00DD6BE9"/>
    <w:rsid w:val="00DD6C52"/>
    <w:rsid w:val="00DD7783"/>
    <w:rsid w:val="00DD77A2"/>
    <w:rsid w:val="00DE0F4A"/>
    <w:rsid w:val="00DE0FA8"/>
    <w:rsid w:val="00DE19DC"/>
    <w:rsid w:val="00DE1C93"/>
    <w:rsid w:val="00DE3827"/>
    <w:rsid w:val="00DE698C"/>
    <w:rsid w:val="00DE6C82"/>
    <w:rsid w:val="00DE6D3B"/>
    <w:rsid w:val="00DE6E99"/>
    <w:rsid w:val="00DE735A"/>
    <w:rsid w:val="00DE78AD"/>
    <w:rsid w:val="00DE7F7F"/>
    <w:rsid w:val="00DF07F3"/>
    <w:rsid w:val="00DF10E0"/>
    <w:rsid w:val="00DF1BFC"/>
    <w:rsid w:val="00DF2EDB"/>
    <w:rsid w:val="00DF56B8"/>
    <w:rsid w:val="00DF5C4C"/>
    <w:rsid w:val="00DF7152"/>
    <w:rsid w:val="00E01BA7"/>
    <w:rsid w:val="00E02A62"/>
    <w:rsid w:val="00E03D3C"/>
    <w:rsid w:val="00E04A97"/>
    <w:rsid w:val="00E0665E"/>
    <w:rsid w:val="00E07278"/>
    <w:rsid w:val="00E109B2"/>
    <w:rsid w:val="00E11208"/>
    <w:rsid w:val="00E12674"/>
    <w:rsid w:val="00E126E4"/>
    <w:rsid w:val="00E13DFA"/>
    <w:rsid w:val="00E14F24"/>
    <w:rsid w:val="00E17BB8"/>
    <w:rsid w:val="00E2024C"/>
    <w:rsid w:val="00E209EC"/>
    <w:rsid w:val="00E21E12"/>
    <w:rsid w:val="00E220DA"/>
    <w:rsid w:val="00E22D00"/>
    <w:rsid w:val="00E22F99"/>
    <w:rsid w:val="00E2371E"/>
    <w:rsid w:val="00E259DE"/>
    <w:rsid w:val="00E25CEB"/>
    <w:rsid w:val="00E262E9"/>
    <w:rsid w:val="00E2630E"/>
    <w:rsid w:val="00E263E4"/>
    <w:rsid w:val="00E26438"/>
    <w:rsid w:val="00E27E8F"/>
    <w:rsid w:val="00E343D6"/>
    <w:rsid w:val="00E349C9"/>
    <w:rsid w:val="00E34C26"/>
    <w:rsid w:val="00E372F7"/>
    <w:rsid w:val="00E37382"/>
    <w:rsid w:val="00E410EC"/>
    <w:rsid w:val="00E4171F"/>
    <w:rsid w:val="00E41DCA"/>
    <w:rsid w:val="00E42773"/>
    <w:rsid w:val="00E4295C"/>
    <w:rsid w:val="00E42F0E"/>
    <w:rsid w:val="00E4334D"/>
    <w:rsid w:val="00E461F9"/>
    <w:rsid w:val="00E473AA"/>
    <w:rsid w:val="00E5070B"/>
    <w:rsid w:val="00E50A76"/>
    <w:rsid w:val="00E50B4B"/>
    <w:rsid w:val="00E52A23"/>
    <w:rsid w:val="00E5338F"/>
    <w:rsid w:val="00E54114"/>
    <w:rsid w:val="00E5513A"/>
    <w:rsid w:val="00E56922"/>
    <w:rsid w:val="00E56F82"/>
    <w:rsid w:val="00E5764B"/>
    <w:rsid w:val="00E61569"/>
    <w:rsid w:val="00E6185E"/>
    <w:rsid w:val="00E61E90"/>
    <w:rsid w:val="00E6221D"/>
    <w:rsid w:val="00E62434"/>
    <w:rsid w:val="00E624A8"/>
    <w:rsid w:val="00E6577A"/>
    <w:rsid w:val="00E664DE"/>
    <w:rsid w:val="00E67CFB"/>
    <w:rsid w:val="00E71154"/>
    <w:rsid w:val="00E7121F"/>
    <w:rsid w:val="00E716ED"/>
    <w:rsid w:val="00E7254B"/>
    <w:rsid w:val="00E72F07"/>
    <w:rsid w:val="00E72FC0"/>
    <w:rsid w:val="00E732E0"/>
    <w:rsid w:val="00E73328"/>
    <w:rsid w:val="00E73A79"/>
    <w:rsid w:val="00E74825"/>
    <w:rsid w:val="00E748EA"/>
    <w:rsid w:val="00E756D3"/>
    <w:rsid w:val="00E76E94"/>
    <w:rsid w:val="00E77AB0"/>
    <w:rsid w:val="00E77ACF"/>
    <w:rsid w:val="00E77EA1"/>
    <w:rsid w:val="00E80ADD"/>
    <w:rsid w:val="00E8362B"/>
    <w:rsid w:val="00E83A57"/>
    <w:rsid w:val="00E84099"/>
    <w:rsid w:val="00E84328"/>
    <w:rsid w:val="00E84EE7"/>
    <w:rsid w:val="00E85660"/>
    <w:rsid w:val="00E858DB"/>
    <w:rsid w:val="00E85F69"/>
    <w:rsid w:val="00E90454"/>
    <w:rsid w:val="00E911DC"/>
    <w:rsid w:val="00E9281D"/>
    <w:rsid w:val="00E93075"/>
    <w:rsid w:val="00E94572"/>
    <w:rsid w:val="00E94B28"/>
    <w:rsid w:val="00E94F31"/>
    <w:rsid w:val="00E95612"/>
    <w:rsid w:val="00E956F2"/>
    <w:rsid w:val="00E958B7"/>
    <w:rsid w:val="00E97177"/>
    <w:rsid w:val="00E97232"/>
    <w:rsid w:val="00EA047C"/>
    <w:rsid w:val="00EA1C73"/>
    <w:rsid w:val="00EA2346"/>
    <w:rsid w:val="00EA2630"/>
    <w:rsid w:val="00EA4802"/>
    <w:rsid w:val="00EA48CA"/>
    <w:rsid w:val="00EA5930"/>
    <w:rsid w:val="00EA7946"/>
    <w:rsid w:val="00EA7CBD"/>
    <w:rsid w:val="00EB0B68"/>
    <w:rsid w:val="00EB2096"/>
    <w:rsid w:val="00EB3004"/>
    <w:rsid w:val="00EB327A"/>
    <w:rsid w:val="00EB4178"/>
    <w:rsid w:val="00EB46AE"/>
    <w:rsid w:val="00EB58B1"/>
    <w:rsid w:val="00EC079B"/>
    <w:rsid w:val="00EC139E"/>
    <w:rsid w:val="00EC1F8C"/>
    <w:rsid w:val="00EC218F"/>
    <w:rsid w:val="00EC2AAA"/>
    <w:rsid w:val="00EC2AAC"/>
    <w:rsid w:val="00EC433E"/>
    <w:rsid w:val="00EC4932"/>
    <w:rsid w:val="00EC638F"/>
    <w:rsid w:val="00EC6D83"/>
    <w:rsid w:val="00EC746E"/>
    <w:rsid w:val="00ED09FD"/>
    <w:rsid w:val="00ED0BEF"/>
    <w:rsid w:val="00ED2510"/>
    <w:rsid w:val="00ED2963"/>
    <w:rsid w:val="00ED46BC"/>
    <w:rsid w:val="00ED668A"/>
    <w:rsid w:val="00ED685F"/>
    <w:rsid w:val="00EE049E"/>
    <w:rsid w:val="00EE091C"/>
    <w:rsid w:val="00EE096D"/>
    <w:rsid w:val="00EE11C4"/>
    <w:rsid w:val="00EE215C"/>
    <w:rsid w:val="00EE4ADC"/>
    <w:rsid w:val="00EE5D84"/>
    <w:rsid w:val="00EE5DB5"/>
    <w:rsid w:val="00EE64B4"/>
    <w:rsid w:val="00EE6CD4"/>
    <w:rsid w:val="00EF0A5B"/>
    <w:rsid w:val="00EF1B25"/>
    <w:rsid w:val="00EF2AB9"/>
    <w:rsid w:val="00EF388B"/>
    <w:rsid w:val="00EF3FEB"/>
    <w:rsid w:val="00EF406E"/>
    <w:rsid w:val="00EF4ED9"/>
    <w:rsid w:val="00EF5367"/>
    <w:rsid w:val="00EF5FAE"/>
    <w:rsid w:val="00EF6068"/>
    <w:rsid w:val="00EF6984"/>
    <w:rsid w:val="00F00381"/>
    <w:rsid w:val="00F005E2"/>
    <w:rsid w:val="00F01601"/>
    <w:rsid w:val="00F049F7"/>
    <w:rsid w:val="00F06A38"/>
    <w:rsid w:val="00F06F51"/>
    <w:rsid w:val="00F10101"/>
    <w:rsid w:val="00F103D8"/>
    <w:rsid w:val="00F11DBA"/>
    <w:rsid w:val="00F132D1"/>
    <w:rsid w:val="00F13C03"/>
    <w:rsid w:val="00F14205"/>
    <w:rsid w:val="00F16173"/>
    <w:rsid w:val="00F166EC"/>
    <w:rsid w:val="00F21ED1"/>
    <w:rsid w:val="00F22EF6"/>
    <w:rsid w:val="00F231A9"/>
    <w:rsid w:val="00F23286"/>
    <w:rsid w:val="00F23B5D"/>
    <w:rsid w:val="00F24D68"/>
    <w:rsid w:val="00F250B1"/>
    <w:rsid w:val="00F25EEF"/>
    <w:rsid w:val="00F26B11"/>
    <w:rsid w:val="00F27118"/>
    <w:rsid w:val="00F30311"/>
    <w:rsid w:val="00F3054A"/>
    <w:rsid w:val="00F308C8"/>
    <w:rsid w:val="00F31B58"/>
    <w:rsid w:val="00F3233F"/>
    <w:rsid w:val="00F33D80"/>
    <w:rsid w:val="00F345FF"/>
    <w:rsid w:val="00F36ABD"/>
    <w:rsid w:val="00F37E65"/>
    <w:rsid w:val="00F4058E"/>
    <w:rsid w:val="00F407F5"/>
    <w:rsid w:val="00F4233F"/>
    <w:rsid w:val="00F42FE4"/>
    <w:rsid w:val="00F43562"/>
    <w:rsid w:val="00F4384E"/>
    <w:rsid w:val="00F43F7F"/>
    <w:rsid w:val="00F44954"/>
    <w:rsid w:val="00F44E32"/>
    <w:rsid w:val="00F45084"/>
    <w:rsid w:val="00F45973"/>
    <w:rsid w:val="00F46E0A"/>
    <w:rsid w:val="00F472B9"/>
    <w:rsid w:val="00F5253D"/>
    <w:rsid w:val="00F5280C"/>
    <w:rsid w:val="00F5293F"/>
    <w:rsid w:val="00F52D0C"/>
    <w:rsid w:val="00F53656"/>
    <w:rsid w:val="00F538B9"/>
    <w:rsid w:val="00F54469"/>
    <w:rsid w:val="00F54D2E"/>
    <w:rsid w:val="00F55B06"/>
    <w:rsid w:val="00F55B53"/>
    <w:rsid w:val="00F5673B"/>
    <w:rsid w:val="00F57235"/>
    <w:rsid w:val="00F575CC"/>
    <w:rsid w:val="00F60BB9"/>
    <w:rsid w:val="00F61595"/>
    <w:rsid w:val="00F62E47"/>
    <w:rsid w:val="00F640CB"/>
    <w:rsid w:val="00F648D9"/>
    <w:rsid w:val="00F65AA2"/>
    <w:rsid w:val="00F65DD2"/>
    <w:rsid w:val="00F66897"/>
    <w:rsid w:val="00F703E9"/>
    <w:rsid w:val="00F70620"/>
    <w:rsid w:val="00F707E6"/>
    <w:rsid w:val="00F71107"/>
    <w:rsid w:val="00F71364"/>
    <w:rsid w:val="00F71CAD"/>
    <w:rsid w:val="00F71FCF"/>
    <w:rsid w:val="00F738FE"/>
    <w:rsid w:val="00F73A8B"/>
    <w:rsid w:val="00F73F86"/>
    <w:rsid w:val="00F745E7"/>
    <w:rsid w:val="00F75960"/>
    <w:rsid w:val="00F75B37"/>
    <w:rsid w:val="00F75D69"/>
    <w:rsid w:val="00F75F79"/>
    <w:rsid w:val="00F76154"/>
    <w:rsid w:val="00F766DA"/>
    <w:rsid w:val="00F76F88"/>
    <w:rsid w:val="00F773C7"/>
    <w:rsid w:val="00F77CC2"/>
    <w:rsid w:val="00F77EA7"/>
    <w:rsid w:val="00F80BA4"/>
    <w:rsid w:val="00F8168D"/>
    <w:rsid w:val="00F8199D"/>
    <w:rsid w:val="00F82807"/>
    <w:rsid w:val="00F84B93"/>
    <w:rsid w:val="00F85D95"/>
    <w:rsid w:val="00F864CE"/>
    <w:rsid w:val="00F86DC5"/>
    <w:rsid w:val="00F870BC"/>
    <w:rsid w:val="00F87345"/>
    <w:rsid w:val="00F87C0C"/>
    <w:rsid w:val="00F914DE"/>
    <w:rsid w:val="00F9278B"/>
    <w:rsid w:val="00F92B92"/>
    <w:rsid w:val="00F93AE0"/>
    <w:rsid w:val="00F943A2"/>
    <w:rsid w:val="00F96FE6"/>
    <w:rsid w:val="00FA0C20"/>
    <w:rsid w:val="00FA0CA0"/>
    <w:rsid w:val="00FA118A"/>
    <w:rsid w:val="00FA1345"/>
    <w:rsid w:val="00FA27F1"/>
    <w:rsid w:val="00FA2992"/>
    <w:rsid w:val="00FA4745"/>
    <w:rsid w:val="00FA5B57"/>
    <w:rsid w:val="00FA6652"/>
    <w:rsid w:val="00FA66D8"/>
    <w:rsid w:val="00FA72D4"/>
    <w:rsid w:val="00FA7436"/>
    <w:rsid w:val="00FA760B"/>
    <w:rsid w:val="00FB05E0"/>
    <w:rsid w:val="00FB0605"/>
    <w:rsid w:val="00FB1766"/>
    <w:rsid w:val="00FB1CE5"/>
    <w:rsid w:val="00FB2A4B"/>
    <w:rsid w:val="00FB512F"/>
    <w:rsid w:val="00FB6F56"/>
    <w:rsid w:val="00FB7483"/>
    <w:rsid w:val="00FC0432"/>
    <w:rsid w:val="00FC0E37"/>
    <w:rsid w:val="00FC1588"/>
    <w:rsid w:val="00FC1F1D"/>
    <w:rsid w:val="00FC2EF9"/>
    <w:rsid w:val="00FC376A"/>
    <w:rsid w:val="00FC461F"/>
    <w:rsid w:val="00FC506E"/>
    <w:rsid w:val="00FC58E0"/>
    <w:rsid w:val="00FC5BF6"/>
    <w:rsid w:val="00FC5C69"/>
    <w:rsid w:val="00FC60D4"/>
    <w:rsid w:val="00FC633B"/>
    <w:rsid w:val="00FC671C"/>
    <w:rsid w:val="00FC79CC"/>
    <w:rsid w:val="00FD0684"/>
    <w:rsid w:val="00FD17EC"/>
    <w:rsid w:val="00FD3946"/>
    <w:rsid w:val="00FD45E3"/>
    <w:rsid w:val="00FD4930"/>
    <w:rsid w:val="00FD4BF2"/>
    <w:rsid w:val="00FD4D81"/>
    <w:rsid w:val="00FD5BEF"/>
    <w:rsid w:val="00FD6AC1"/>
    <w:rsid w:val="00FD764F"/>
    <w:rsid w:val="00FE005A"/>
    <w:rsid w:val="00FE05EE"/>
    <w:rsid w:val="00FE1875"/>
    <w:rsid w:val="00FE307F"/>
    <w:rsid w:val="00FE394C"/>
    <w:rsid w:val="00FE4AAB"/>
    <w:rsid w:val="00FE4F6D"/>
    <w:rsid w:val="00FE501A"/>
    <w:rsid w:val="00FE74D6"/>
    <w:rsid w:val="00FE79E3"/>
    <w:rsid w:val="00FF0745"/>
    <w:rsid w:val="00FF1004"/>
    <w:rsid w:val="00FF202C"/>
    <w:rsid w:val="00FF2DCD"/>
    <w:rsid w:val="00FF587D"/>
    <w:rsid w:val="00FF5BF9"/>
    <w:rsid w:val="00FF6CBC"/>
    <w:rsid w:val="00FF71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14"/>
      <o:rules v:ext="edit">
        <o:r id="V:Rule196" type="connector" idref="#AutoShape 101">
          <o:proxy end="" idref="#Text Box 96" connectloc="1"/>
        </o:r>
        <o:r id="V:Rule197" type="connector" idref="#_x0000_s1987"/>
        <o:r id="V:Rule199" type="connector" idref="#_x0000_s1953"/>
        <o:r id="V:Rule205" type="connector" idref="#AutoShape 79"/>
        <o:r id="V:Rule213" type="connector" idref="#AutoShape 116"/>
        <o:r id="V:Rule217" type="connector" idref="#_x0000_s1951"/>
        <o:r id="V:Rule220" type="connector" idref="#AutoShape 100"/>
        <o:r id="V:Rule221" type="connector" idref="#AutoShape 117"/>
        <o:r id="V:Rule223" type="connector" idref="#AutoShape 82"/>
        <o:r id="V:Rule228" type="connector" idref="#_x0000_s1984"/>
        <o:r id="V:Rule238" type="connector" idref="#_x0000_s1956"/>
        <o:r id="V:Rule240" type="connector" idref="#_x0000_s1946"/>
        <o:r id="V:Rule244" type="connector" idref="#_x0000_s1957"/>
        <o:r id="V:Rule248" type="connector" idref="#_x0000_s1985"/>
        <o:r id="V:Rule249" type="connector" idref="#_x0000_s1949"/>
        <o:r id="V:Rule255" type="connector" idref="#_x0000_s1970"/>
        <o:r id="V:Rule259" type="connector" idref="#AutoShape 107"/>
        <o:r id="V:Rule261" type="connector" idref="#_x0000_s1981"/>
        <o:r id="V:Rule265" type="connector" idref="#AutoShape 89"/>
        <o:r id="V:Rule266" type="connector" idref="#AutoShape 88"/>
        <o:r id="V:Rule267" type="connector" idref="#AutoShape 112"/>
        <o:r id="V:Rule269" type="connector" idref="#_x0000_s1980"/>
        <o:r id="V:Rule270" type="connector" idref="#AutoShape 78"/>
        <o:r id="V:Rule280" type="connector" idref="#AutoShape 98"/>
        <o:r id="V:Rule282" type="connector" idref="#AutoShape 109"/>
        <o:r id="V:Rule285" type="connector" idref="#AutoShape 111"/>
        <o:r id="V:Rule287" type="connector" idref="#_x0000_s1954"/>
        <o:r id="V:Rule298" type="connector" idref="#AutoShape 115"/>
        <o:r id="V:Rule303" type="connector" idref="#_x0000_s1958"/>
        <o:r id="V:Rule308" type="connector" idref="#AutoShape 80"/>
        <o:r id="V:Rule316" type="connector" idref="#_x0000_s1947"/>
        <o:r id="V:Rule318" type="connector" idref="#AutoShape 102"/>
        <o:r id="V:Rule323" type="connector" idref="#AutoShape 87"/>
        <o:r id="V:Rule325" type="connector" idref="#AutoShape 110"/>
        <o:r id="V:Rule343" type="connector" idref="#_x0000_s1948"/>
        <o:r id="V:Rule349" type="connector" idref="#_x0000_s1976"/>
        <o:r id="V:Rule352" type="connector" idref="#AutoShape 99"/>
        <o:r id="V:Rule367" type="connector" idref="#_x0000_s197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caption" w:locked="1" w:qFormat="1"/>
    <w:lsdException w:name="footnote reference" w:uiPriority="99"/>
    <w:lsdException w:name="List" w:locked="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25EB"/>
    <w:pPr>
      <w:spacing w:after="240" w:line="254" w:lineRule="auto"/>
      <w:jc w:val="both"/>
    </w:pPr>
    <w:rPr>
      <w:rFonts w:ascii="Times New Roman" w:eastAsia="Times New Roman" w:hAnsi="Times New Roman"/>
      <w:sz w:val="24"/>
      <w:szCs w:val="24"/>
    </w:rPr>
  </w:style>
  <w:style w:type="paragraph" w:styleId="Heading1">
    <w:name w:val="heading 1"/>
    <w:basedOn w:val="Normal"/>
    <w:next w:val="Normal"/>
    <w:link w:val="Heading1Char"/>
    <w:qFormat/>
    <w:rsid w:val="00F87345"/>
    <w:pPr>
      <w:keepNext/>
      <w:spacing w:after="0" w:line="240" w:lineRule="auto"/>
      <w:jc w:val="center"/>
      <w:outlineLvl w:val="0"/>
    </w:pPr>
    <w:rPr>
      <w:rFonts w:eastAsia="Calibri"/>
      <w:sz w:val="20"/>
      <w:szCs w:val="20"/>
    </w:rPr>
  </w:style>
  <w:style w:type="paragraph" w:styleId="Heading2">
    <w:name w:val="heading 2"/>
    <w:basedOn w:val="Normal"/>
    <w:link w:val="Heading2Char"/>
    <w:qFormat/>
    <w:rsid w:val="00F87345"/>
    <w:pPr>
      <w:spacing w:before="100" w:beforeAutospacing="1" w:after="100" w:afterAutospacing="1" w:line="240" w:lineRule="auto"/>
      <w:jc w:val="left"/>
      <w:outlineLvl w:val="1"/>
    </w:pPr>
    <w:rPr>
      <w:rFonts w:ascii="Arial Unicode MS" w:hAnsi="Arial Unicode MS" w:cs="Arial Unicode MS"/>
      <w:b/>
      <w:bCs/>
      <w:sz w:val="36"/>
      <w:szCs w:val="36"/>
      <w:lang w:val="en-AU"/>
    </w:rPr>
  </w:style>
  <w:style w:type="paragraph" w:styleId="Heading3">
    <w:name w:val="heading 3"/>
    <w:basedOn w:val="Normal"/>
    <w:next w:val="Normal"/>
    <w:link w:val="Heading3Char"/>
    <w:qFormat/>
    <w:rsid w:val="00F87345"/>
    <w:pPr>
      <w:keepNext/>
      <w:spacing w:before="240" w:after="60"/>
      <w:outlineLvl w:val="2"/>
    </w:pPr>
    <w:rPr>
      <w:rFonts w:ascii="Cambria" w:eastAsia="Calibri" w:hAnsi="Cambria" w:cs="Cambria"/>
      <w:b/>
      <w:bCs/>
      <w:sz w:val="26"/>
      <w:szCs w:val="26"/>
    </w:rPr>
  </w:style>
  <w:style w:type="paragraph" w:styleId="Heading8">
    <w:name w:val="heading 8"/>
    <w:basedOn w:val="Normal"/>
    <w:next w:val="Normal"/>
    <w:link w:val="Heading8Char"/>
    <w:qFormat/>
    <w:rsid w:val="00F87345"/>
    <w:pPr>
      <w:keepNext/>
      <w:autoSpaceDE w:val="0"/>
      <w:autoSpaceDN w:val="0"/>
      <w:adjustRightInd w:val="0"/>
      <w:spacing w:before="240" w:after="120" w:line="240" w:lineRule="auto"/>
      <w:jc w:val="left"/>
      <w:outlineLvl w:val="7"/>
    </w:pPr>
    <w:rPr>
      <w:rFonts w:eastAsia="Calibri"/>
      <w:b/>
      <w:bCs/>
      <w:smallCap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F87345"/>
    <w:rPr>
      <w:rFonts w:ascii="Times New Roman" w:hAnsi="Times New Roman" w:cs="Times New Roman"/>
      <w:sz w:val="20"/>
      <w:szCs w:val="20"/>
    </w:rPr>
  </w:style>
  <w:style w:type="character" w:customStyle="1" w:styleId="Heading2Char">
    <w:name w:val="Heading 2 Char"/>
    <w:basedOn w:val="DefaultParagraphFont"/>
    <w:link w:val="Heading2"/>
    <w:locked/>
    <w:rsid w:val="00F87345"/>
    <w:rPr>
      <w:rFonts w:ascii="Arial Unicode MS" w:hAnsi="Arial Unicode MS" w:cs="Arial Unicode MS"/>
      <w:b/>
      <w:bCs/>
      <w:sz w:val="36"/>
      <w:szCs w:val="36"/>
      <w:lang w:val="en-AU"/>
    </w:rPr>
  </w:style>
  <w:style w:type="character" w:customStyle="1" w:styleId="Heading3Char">
    <w:name w:val="Heading 3 Char"/>
    <w:basedOn w:val="DefaultParagraphFont"/>
    <w:link w:val="Heading3"/>
    <w:locked/>
    <w:rsid w:val="00F87345"/>
    <w:rPr>
      <w:rFonts w:ascii="Cambria" w:hAnsi="Cambria" w:cs="Cambria"/>
      <w:b/>
      <w:bCs/>
      <w:sz w:val="26"/>
      <w:szCs w:val="26"/>
    </w:rPr>
  </w:style>
  <w:style w:type="character" w:customStyle="1" w:styleId="Heading8Char">
    <w:name w:val="Heading 8 Char"/>
    <w:basedOn w:val="DefaultParagraphFont"/>
    <w:link w:val="Heading8"/>
    <w:locked/>
    <w:rsid w:val="00F87345"/>
    <w:rPr>
      <w:rFonts w:ascii="Times New Roman" w:hAnsi="Times New Roman" w:cs="Times New Roman"/>
      <w:b/>
      <w:bCs/>
      <w:smallCaps/>
      <w:sz w:val="24"/>
      <w:szCs w:val="24"/>
      <w:lang w:val="en-GB"/>
    </w:rPr>
  </w:style>
  <w:style w:type="paragraph" w:customStyle="1" w:styleId="Singlelines">
    <w:name w:val="Single lines"/>
    <w:basedOn w:val="Normal"/>
    <w:rsid w:val="00D925EB"/>
    <w:pPr>
      <w:spacing w:after="0"/>
    </w:pPr>
  </w:style>
  <w:style w:type="character" w:styleId="Hyperlink">
    <w:name w:val="Hyperlink"/>
    <w:basedOn w:val="DefaultParagraphFont"/>
    <w:rsid w:val="00D925EB"/>
    <w:rPr>
      <w:rFonts w:cs="Times New Roman"/>
      <w:color w:val="0000FF"/>
      <w:u w:val="single"/>
    </w:rPr>
  </w:style>
  <w:style w:type="paragraph" w:styleId="NoSpacing">
    <w:name w:val="No Spacing"/>
    <w:qFormat/>
    <w:rsid w:val="00D925EB"/>
    <w:rPr>
      <w:rFonts w:eastAsia="Times New Roman" w:cs="Calibri"/>
      <w:sz w:val="22"/>
      <w:szCs w:val="22"/>
      <w:lang w:val="en-AU"/>
    </w:rPr>
  </w:style>
  <w:style w:type="paragraph" w:styleId="FootnoteText">
    <w:name w:val="footnote text"/>
    <w:basedOn w:val="Normal"/>
    <w:link w:val="FootnoteTextChar"/>
    <w:uiPriority w:val="99"/>
    <w:semiHidden/>
    <w:rsid w:val="00D925E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D925EB"/>
    <w:rPr>
      <w:rFonts w:ascii="Times New Roman" w:hAnsi="Times New Roman" w:cs="Times New Roman"/>
      <w:sz w:val="20"/>
      <w:szCs w:val="20"/>
    </w:rPr>
  </w:style>
  <w:style w:type="character" w:styleId="FootnoteReference">
    <w:name w:val="footnote reference"/>
    <w:basedOn w:val="DefaultParagraphFont"/>
    <w:uiPriority w:val="99"/>
    <w:semiHidden/>
    <w:rsid w:val="00D925EB"/>
    <w:rPr>
      <w:rFonts w:cs="Times New Roman"/>
      <w:vertAlign w:val="superscript"/>
    </w:rPr>
  </w:style>
  <w:style w:type="paragraph" w:styleId="BalloonText">
    <w:name w:val="Balloon Text"/>
    <w:basedOn w:val="Normal"/>
    <w:link w:val="BalloonTextChar"/>
    <w:semiHidden/>
    <w:rsid w:val="00E972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locked/>
    <w:rsid w:val="00E97232"/>
    <w:rPr>
      <w:rFonts w:ascii="Tahoma" w:hAnsi="Tahoma" w:cs="Tahoma"/>
      <w:sz w:val="16"/>
      <w:szCs w:val="16"/>
    </w:rPr>
  </w:style>
  <w:style w:type="character" w:styleId="Emphasis">
    <w:name w:val="Emphasis"/>
    <w:basedOn w:val="DefaultParagraphFont"/>
    <w:qFormat/>
    <w:rsid w:val="00C72706"/>
    <w:rPr>
      <w:rFonts w:cs="Times New Roman"/>
      <w:i/>
      <w:iCs/>
    </w:rPr>
  </w:style>
  <w:style w:type="paragraph" w:styleId="List">
    <w:name w:val="List"/>
    <w:aliases w:val="2"/>
    <w:basedOn w:val="Normal"/>
    <w:semiHidden/>
    <w:rsid w:val="005D066E"/>
    <w:pPr>
      <w:spacing w:before="120" w:after="0" w:line="288" w:lineRule="auto"/>
      <w:ind w:left="284" w:hanging="284"/>
    </w:pPr>
    <w:rPr>
      <w:lang w:val="de-DE" w:eastAsia="de-DE"/>
    </w:rPr>
  </w:style>
  <w:style w:type="paragraph" w:styleId="ListParagraph">
    <w:name w:val="List Paragraph"/>
    <w:basedOn w:val="Normal"/>
    <w:qFormat/>
    <w:rsid w:val="005C0BD6"/>
    <w:pPr>
      <w:ind w:left="720"/>
    </w:pPr>
  </w:style>
  <w:style w:type="paragraph" w:customStyle="1" w:styleId="Default">
    <w:name w:val="Default"/>
    <w:rsid w:val="0038273D"/>
    <w:pPr>
      <w:autoSpaceDE w:val="0"/>
      <w:autoSpaceDN w:val="0"/>
      <w:adjustRightInd w:val="0"/>
    </w:pPr>
    <w:rPr>
      <w:rFonts w:ascii="Tahoma" w:eastAsia="Times New Roman" w:hAnsi="Tahoma" w:cs="Tahoma"/>
      <w:color w:val="000000"/>
      <w:sz w:val="24"/>
      <w:szCs w:val="24"/>
      <w:lang w:val="en-AU" w:eastAsia="en-AU"/>
    </w:rPr>
  </w:style>
  <w:style w:type="paragraph" w:styleId="Caption">
    <w:name w:val="caption"/>
    <w:basedOn w:val="Normal"/>
    <w:next w:val="Normal"/>
    <w:qFormat/>
    <w:rsid w:val="001419F1"/>
    <w:pPr>
      <w:numPr>
        <w:ilvl w:val="12"/>
      </w:numPr>
      <w:spacing w:after="120"/>
      <w:jc w:val="center"/>
      <w:outlineLvl w:val="0"/>
    </w:pPr>
    <w:rPr>
      <w:rFonts w:eastAsia="Calibri"/>
      <w:b/>
      <w:bCs/>
    </w:rPr>
  </w:style>
  <w:style w:type="character" w:customStyle="1" w:styleId="reference-text">
    <w:name w:val="reference-text"/>
    <w:basedOn w:val="DefaultParagraphFont"/>
    <w:rsid w:val="005809CD"/>
    <w:rPr>
      <w:rFonts w:cs="Times New Roman"/>
    </w:rPr>
  </w:style>
  <w:style w:type="paragraph" w:styleId="NormalIndent">
    <w:name w:val="Normal Indent"/>
    <w:basedOn w:val="Normal"/>
    <w:semiHidden/>
    <w:rsid w:val="00F87345"/>
    <w:pPr>
      <w:ind w:left="720"/>
    </w:pPr>
    <w:rPr>
      <w:rFonts w:eastAsia="Calibri"/>
    </w:rPr>
  </w:style>
  <w:style w:type="paragraph" w:styleId="Footer">
    <w:name w:val="footer"/>
    <w:basedOn w:val="Normal"/>
    <w:link w:val="FooterChar"/>
    <w:semiHidden/>
    <w:rsid w:val="00F87345"/>
    <w:pPr>
      <w:tabs>
        <w:tab w:val="left" w:pos="-432"/>
        <w:tab w:val="center" w:pos="3888"/>
        <w:tab w:val="right" w:pos="8208"/>
        <w:tab w:val="left" w:pos="8928"/>
      </w:tabs>
      <w:suppressAutoHyphens/>
    </w:pPr>
    <w:rPr>
      <w:rFonts w:eastAsia="Calibri"/>
      <w:lang w:val="en-AU"/>
    </w:rPr>
  </w:style>
  <w:style w:type="character" w:customStyle="1" w:styleId="FooterChar">
    <w:name w:val="Footer Char"/>
    <w:basedOn w:val="DefaultParagraphFont"/>
    <w:link w:val="Footer"/>
    <w:semiHidden/>
    <w:locked/>
    <w:rsid w:val="00F87345"/>
    <w:rPr>
      <w:rFonts w:ascii="Times New Roman" w:hAnsi="Times New Roman" w:cs="Times New Roman"/>
      <w:sz w:val="24"/>
      <w:szCs w:val="24"/>
      <w:lang w:val="en-AU"/>
    </w:rPr>
  </w:style>
  <w:style w:type="paragraph" w:styleId="BodyText2">
    <w:name w:val="Body Text 2"/>
    <w:basedOn w:val="Normal"/>
    <w:link w:val="BodyText2Char"/>
    <w:semiHidden/>
    <w:rsid w:val="00F87345"/>
    <w:pPr>
      <w:spacing w:after="0" w:line="240" w:lineRule="auto"/>
      <w:jc w:val="left"/>
    </w:pPr>
    <w:rPr>
      <w:rFonts w:eastAsia="Calibri"/>
    </w:rPr>
  </w:style>
  <w:style w:type="character" w:customStyle="1" w:styleId="BodyText2Char">
    <w:name w:val="Body Text 2 Char"/>
    <w:basedOn w:val="DefaultParagraphFont"/>
    <w:link w:val="BodyText2"/>
    <w:semiHidden/>
    <w:locked/>
    <w:rsid w:val="00F87345"/>
    <w:rPr>
      <w:rFonts w:ascii="Times New Roman" w:hAnsi="Times New Roman" w:cs="Times New Roman"/>
      <w:sz w:val="24"/>
      <w:szCs w:val="24"/>
    </w:rPr>
  </w:style>
  <w:style w:type="paragraph" w:styleId="BodyText">
    <w:name w:val="Body Text"/>
    <w:basedOn w:val="Normal"/>
    <w:link w:val="BodyTextChar"/>
    <w:semiHidden/>
    <w:rsid w:val="00F87345"/>
    <w:pPr>
      <w:spacing w:after="120"/>
    </w:pPr>
    <w:rPr>
      <w:rFonts w:eastAsia="Calibri"/>
    </w:rPr>
  </w:style>
  <w:style w:type="character" w:customStyle="1" w:styleId="BodyTextChar">
    <w:name w:val="Body Text Char"/>
    <w:basedOn w:val="DefaultParagraphFont"/>
    <w:link w:val="BodyText"/>
    <w:semiHidden/>
    <w:locked/>
    <w:rsid w:val="00F87345"/>
    <w:rPr>
      <w:rFonts w:ascii="Times New Roman" w:hAnsi="Times New Roman" w:cs="Times New Roman"/>
      <w:sz w:val="24"/>
      <w:szCs w:val="24"/>
    </w:rPr>
  </w:style>
  <w:style w:type="paragraph" w:customStyle="1" w:styleId="BodyTextInd">
    <w:name w:val="Body Text Ind"/>
    <w:basedOn w:val="BodyText"/>
    <w:rsid w:val="00F87345"/>
    <w:pPr>
      <w:spacing w:after="0" w:line="240" w:lineRule="auto"/>
      <w:ind w:firstLine="720"/>
    </w:pPr>
    <w:rPr>
      <w:lang w:val="en-AU"/>
    </w:rPr>
  </w:style>
  <w:style w:type="character" w:styleId="FollowedHyperlink">
    <w:name w:val="FollowedHyperlink"/>
    <w:basedOn w:val="DefaultParagraphFont"/>
    <w:semiHidden/>
    <w:rsid w:val="00F87345"/>
    <w:rPr>
      <w:rFonts w:cs="Times New Roman"/>
      <w:color w:val="800080"/>
      <w:u w:val="single"/>
    </w:rPr>
  </w:style>
  <w:style w:type="paragraph" w:styleId="NormalWeb">
    <w:name w:val="Normal (Web)"/>
    <w:basedOn w:val="Normal"/>
    <w:semiHidden/>
    <w:rsid w:val="00F87345"/>
    <w:pPr>
      <w:spacing w:before="100" w:beforeAutospacing="1" w:after="100" w:afterAutospacing="1" w:line="240" w:lineRule="auto"/>
      <w:jc w:val="left"/>
    </w:pPr>
    <w:rPr>
      <w:rFonts w:ascii="Arial Unicode MS" w:hAnsi="Arial Unicode MS" w:cs="Arial Unicode MS"/>
      <w:lang w:val="en-AU"/>
    </w:rPr>
  </w:style>
  <w:style w:type="paragraph" w:styleId="BodyText3">
    <w:name w:val="Body Text 3"/>
    <w:basedOn w:val="Normal"/>
    <w:link w:val="BodyText3Char"/>
    <w:semiHidden/>
    <w:rsid w:val="00F87345"/>
    <w:pPr>
      <w:autoSpaceDE w:val="0"/>
      <w:autoSpaceDN w:val="0"/>
      <w:adjustRightInd w:val="0"/>
      <w:spacing w:before="120"/>
      <w:jc w:val="center"/>
    </w:pPr>
    <w:rPr>
      <w:rFonts w:eastAsia="PMingLiU"/>
      <w:color w:val="000000"/>
    </w:rPr>
  </w:style>
  <w:style w:type="character" w:customStyle="1" w:styleId="BodyText3Char">
    <w:name w:val="Body Text 3 Char"/>
    <w:basedOn w:val="DefaultParagraphFont"/>
    <w:link w:val="BodyText3"/>
    <w:semiHidden/>
    <w:locked/>
    <w:rsid w:val="00F87345"/>
    <w:rPr>
      <w:rFonts w:ascii="Times New Roman" w:eastAsia="PMingLiU" w:hAnsi="Times New Roman" w:cs="Times New Roman"/>
      <w:color w:val="000000"/>
      <w:sz w:val="24"/>
      <w:szCs w:val="24"/>
    </w:rPr>
  </w:style>
  <w:style w:type="paragraph" w:customStyle="1" w:styleId="font5">
    <w:name w:val="font5"/>
    <w:basedOn w:val="Normal"/>
    <w:rsid w:val="00F87345"/>
    <w:pPr>
      <w:spacing w:before="100" w:beforeAutospacing="1" w:after="100" w:afterAutospacing="1" w:line="240" w:lineRule="auto"/>
      <w:jc w:val="left"/>
    </w:pPr>
    <w:rPr>
      <w:rFonts w:ascii="Tahoma" w:hAnsi="Tahoma" w:cs="Tahoma"/>
      <w:color w:val="000000"/>
      <w:sz w:val="16"/>
      <w:szCs w:val="16"/>
      <w:lang w:val="en-AU"/>
    </w:rPr>
  </w:style>
  <w:style w:type="paragraph" w:customStyle="1" w:styleId="font6">
    <w:name w:val="font6"/>
    <w:basedOn w:val="Normal"/>
    <w:rsid w:val="00F87345"/>
    <w:pPr>
      <w:spacing w:before="100" w:beforeAutospacing="1" w:after="100" w:afterAutospacing="1" w:line="240" w:lineRule="auto"/>
      <w:jc w:val="left"/>
    </w:pPr>
    <w:rPr>
      <w:rFonts w:ascii="Tahoma" w:hAnsi="Tahoma" w:cs="Tahoma"/>
      <w:b/>
      <w:bCs/>
      <w:color w:val="000000"/>
      <w:sz w:val="16"/>
      <w:szCs w:val="16"/>
      <w:lang w:val="en-AU"/>
    </w:rPr>
  </w:style>
  <w:style w:type="paragraph" w:customStyle="1" w:styleId="xl26">
    <w:name w:val="xl26"/>
    <w:basedOn w:val="Normal"/>
    <w:rsid w:val="00F87345"/>
    <w:pPr>
      <w:pBdr>
        <w:right w:val="single" w:sz="4" w:space="0" w:color="auto"/>
      </w:pBdr>
      <w:spacing w:before="100" w:beforeAutospacing="1" w:after="100" w:afterAutospacing="1" w:line="240" w:lineRule="auto"/>
      <w:jc w:val="left"/>
    </w:pPr>
    <w:rPr>
      <w:rFonts w:ascii="Arial Unicode MS" w:hAnsi="Arial Unicode MS" w:cs="Arial Unicode MS"/>
      <w:lang w:val="en-AU"/>
    </w:rPr>
  </w:style>
  <w:style w:type="paragraph" w:customStyle="1" w:styleId="xl27">
    <w:name w:val="xl27"/>
    <w:basedOn w:val="Normal"/>
    <w:rsid w:val="00F87345"/>
    <w:pPr>
      <w:pBdr>
        <w:left w:val="single" w:sz="4" w:space="0" w:color="auto"/>
        <w:bottom w:val="single" w:sz="4" w:space="0" w:color="auto"/>
      </w:pBdr>
      <w:spacing w:before="100" w:beforeAutospacing="1" w:after="100" w:afterAutospacing="1" w:line="240" w:lineRule="auto"/>
      <w:jc w:val="left"/>
    </w:pPr>
    <w:rPr>
      <w:rFonts w:ascii="Arial Unicode MS" w:hAnsi="Arial Unicode MS" w:cs="Arial Unicode MS"/>
      <w:lang w:val="en-AU"/>
    </w:rPr>
  </w:style>
  <w:style w:type="paragraph" w:customStyle="1" w:styleId="singlespacednormal">
    <w:name w:val="single spaced normal"/>
    <w:rsid w:val="00F87345"/>
    <w:pPr>
      <w:spacing w:before="120" w:after="120" w:line="360" w:lineRule="atLeast"/>
      <w:jc w:val="both"/>
    </w:pPr>
    <w:rPr>
      <w:rFonts w:ascii="Tms Rmn" w:hAnsi="Tms Rmn" w:cs="Tms Rmn"/>
      <w:sz w:val="24"/>
      <w:szCs w:val="24"/>
      <w:lang w:val="en-AU"/>
    </w:rPr>
  </w:style>
  <w:style w:type="character" w:customStyle="1" w:styleId="Technical1">
    <w:name w:val="Technical[1]"/>
    <w:basedOn w:val="DefaultParagraphFont"/>
    <w:rsid w:val="00F87345"/>
    <w:rPr>
      <w:rFonts w:ascii="CG Times" w:hAnsi="CG Times" w:cs="CG Times"/>
      <w:sz w:val="22"/>
      <w:szCs w:val="22"/>
      <w:lang w:val="en-US"/>
    </w:rPr>
  </w:style>
  <w:style w:type="paragraph" w:customStyle="1" w:styleId="WPPaperrefstext">
    <w:name w:val="WP Paper refs text"/>
    <w:basedOn w:val="Normal"/>
    <w:autoRedefine/>
    <w:rsid w:val="00F87345"/>
    <w:pPr>
      <w:keepNext/>
      <w:tabs>
        <w:tab w:val="left" w:pos="540"/>
        <w:tab w:val="right" w:pos="8505"/>
      </w:tabs>
      <w:spacing w:before="120" w:after="120" w:line="240" w:lineRule="auto"/>
    </w:pPr>
    <w:rPr>
      <w:rFonts w:eastAsia="Calibri"/>
      <w:sz w:val="22"/>
      <w:szCs w:val="22"/>
    </w:rPr>
  </w:style>
  <w:style w:type="paragraph" w:styleId="EndnoteText">
    <w:name w:val="endnote text"/>
    <w:basedOn w:val="Normal"/>
    <w:link w:val="EndnoteTextChar"/>
    <w:semiHidden/>
    <w:rsid w:val="00F87345"/>
    <w:pPr>
      <w:widowControl w:val="0"/>
      <w:spacing w:after="60" w:line="480" w:lineRule="auto"/>
    </w:pPr>
    <w:rPr>
      <w:rFonts w:eastAsia="MS Mincho"/>
      <w:kern w:val="2"/>
      <w:sz w:val="20"/>
      <w:szCs w:val="20"/>
      <w:lang w:val="en-GB" w:eastAsia="ja-JP"/>
    </w:rPr>
  </w:style>
  <w:style w:type="character" w:customStyle="1" w:styleId="EndnoteTextChar">
    <w:name w:val="Endnote Text Char"/>
    <w:basedOn w:val="DefaultParagraphFont"/>
    <w:link w:val="EndnoteText"/>
    <w:semiHidden/>
    <w:locked/>
    <w:rsid w:val="00F87345"/>
    <w:rPr>
      <w:rFonts w:ascii="Times New Roman" w:eastAsia="MS Mincho" w:hAnsi="Times New Roman" w:cs="Times New Roman"/>
      <w:kern w:val="2"/>
      <w:sz w:val="20"/>
      <w:szCs w:val="20"/>
      <w:lang w:val="en-GB" w:eastAsia="ja-JP"/>
    </w:rPr>
  </w:style>
  <w:style w:type="character" w:styleId="EndnoteReference">
    <w:name w:val="endnote reference"/>
    <w:basedOn w:val="DefaultParagraphFont"/>
    <w:semiHidden/>
    <w:rsid w:val="00F87345"/>
    <w:rPr>
      <w:rFonts w:cs="Times New Roman"/>
      <w:vertAlign w:val="superscript"/>
    </w:rPr>
  </w:style>
  <w:style w:type="character" w:styleId="CommentReference">
    <w:name w:val="annotation reference"/>
    <w:basedOn w:val="DefaultParagraphFont"/>
    <w:semiHidden/>
    <w:rsid w:val="00F87345"/>
    <w:rPr>
      <w:rFonts w:cs="Times New Roman"/>
      <w:sz w:val="16"/>
      <w:szCs w:val="16"/>
    </w:rPr>
  </w:style>
  <w:style w:type="paragraph" w:styleId="CommentText">
    <w:name w:val="annotation text"/>
    <w:basedOn w:val="Normal"/>
    <w:link w:val="CommentTextChar"/>
    <w:semiHidden/>
    <w:rsid w:val="00F87345"/>
    <w:rPr>
      <w:rFonts w:eastAsia="Calibri"/>
      <w:sz w:val="20"/>
      <w:szCs w:val="20"/>
    </w:rPr>
  </w:style>
  <w:style w:type="character" w:customStyle="1" w:styleId="CommentTextChar">
    <w:name w:val="Comment Text Char"/>
    <w:basedOn w:val="DefaultParagraphFont"/>
    <w:link w:val="CommentText"/>
    <w:semiHidden/>
    <w:locked/>
    <w:rsid w:val="00F87345"/>
    <w:rPr>
      <w:rFonts w:ascii="Times New Roman" w:hAnsi="Times New Roman" w:cs="Times New Roman"/>
      <w:sz w:val="20"/>
      <w:szCs w:val="20"/>
    </w:rPr>
  </w:style>
  <w:style w:type="paragraph" w:styleId="CommentSubject">
    <w:name w:val="annotation subject"/>
    <w:basedOn w:val="CommentText"/>
    <w:next w:val="CommentText"/>
    <w:link w:val="CommentSubjectChar"/>
    <w:semiHidden/>
    <w:rsid w:val="00F87345"/>
    <w:rPr>
      <w:b/>
      <w:bCs/>
    </w:rPr>
  </w:style>
  <w:style w:type="character" w:customStyle="1" w:styleId="CommentSubjectChar">
    <w:name w:val="Comment Subject Char"/>
    <w:basedOn w:val="CommentTextChar"/>
    <w:link w:val="CommentSubject"/>
    <w:semiHidden/>
    <w:locked/>
    <w:rsid w:val="00F87345"/>
    <w:rPr>
      <w:rFonts w:ascii="Times New Roman" w:hAnsi="Times New Roman" w:cs="Times New Roman"/>
      <w:b/>
      <w:bCs/>
      <w:sz w:val="20"/>
      <w:szCs w:val="20"/>
    </w:rPr>
  </w:style>
  <w:style w:type="table" w:styleId="TableGrid">
    <w:name w:val="Table Grid"/>
    <w:basedOn w:val="TableNormal"/>
    <w:rsid w:val="00F87345"/>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
    <w:name w:val="Literatur"/>
    <w:rsid w:val="00F87345"/>
    <w:pPr>
      <w:keepLines/>
      <w:spacing w:before="60" w:after="60" w:line="480" w:lineRule="auto"/>
      <w:ind w:left="425" w:hanging="425"/>
      <w:jc w:val="both"/>
    </w:pPr>
    <w:rPr>
      <w:rFonts w:ascii="Times New Roman" w:eastAsia="Times New Roman" w:hAnsi="Times New Roman"/>
      <w:color w:val="000000"/>
      <w:sz w:val="22"/>
      <w:szCs w:val="22"/>
      <w:lang w:val="de-DE"/>
    </w:rPr>
  </w:style>
  <w:style w:type="character" w:customStyle="1" w:styleId="apple-style-span">
    <w:name w:val="apple-style-span"/>
    <w:basedOn w:val="DefaultParagraphFont"/>
    <w:rsid w:val="00F87345"/>
    <w:rPr>
      <w:rFonts w:cs="Times New Roman"/>
    </w:rPr>
  </w:style>
  <w:style w:type="paragraph" w:customStyle="1" w:styleId="reference">
    <w:name w:val="reference"/>
    <w:basedOn w:val="Normal"/>
    <w:rsid w:val="00F87345"/>
    <w:pPr>
      <w:widowControl w:val="0"/>
      <w:autoSpaceDE w:val="0"/>
      <w:autoSpaceDN w:val="0"/>
      <w:adjustRightInd w:val="0"/>
      <w:spacing w:after="60" w:line="480" w:lineRule="auto"/>
      <w:ind w:left="288" w:hanging="288"/>
    </w:pPr>
    <w:rPr>
      <w:rFonts w:eastAsia="MS Mincho"/>
      <w:kern w:val="2"/>
      <w:lang w:val="en-GB" w:eastAsia="ja-JP"/>
    </w:rPr>
  </w:style>
  <w:style w:type="character" w:customStyle="1" w:styleId="apple-converted-space">
    <w:name w:val="apple-converted-space"/>
    <w:basedOn w:val="DefaultParagraphFont"/>
    <w:rsid w:val="00F87345"/>
    <w:rPr>
      <w:rFonts w:cs="Times New Roman"/>
    </w:rPr>
  </w:style>
  <w:style w:type="paragraph" w:customStyle="1" w:styleId="Standard">
    <w:name w:val="Standard"/>
    <w:rsid w:val="00F87345"/>
    <w:rPr>
      <w:rFonts w:ascii="Times New Roman" w:eastAsia="Times New Roman" w:hAnsi="Times New Roman"/>
      <w:color w:val="000000"/>
      <w:sz w:val="24"/>
      <w:szCs w:val="24"/>
      <w:lang w:val="de-DE"/>
    </w:rPr>
  </w:style>
  <w:style w:type="table" w:customStyle="1" w:styleId="TableGrid1">
    <w:name w:val="Table Grid1"/>
    <w:basedOn w:val="TableNormal"/>
    <w:next w:val="TableGrid"/>
    <w:uiPriority w:val="59"/>
    <w:rsid w:val="00B5414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 w:id="238944868">
      <w:bodyDiv w:val="1"/>
      <w:marLeft w:val="0"/>
      <w:marRight w:val="0"/>
      <w:marTop w:val="0"/>
      <w:marBottom w:val="0"/>
      <w:divBdr>
        <w:top w:val="none" w:sz="0" w:space="0" w:color="auto"/>
        <w:left w:val="none" w:sz="0" w:space="0" w:color="auto"/>
        <w:bottom w:val="none" w:sz="0" w:space="0" w:color="auto"/>
        <w:right w:val="none" w:sz="0" w:space="0" w:color="auto"/>
      </w:divBdr>
      <w:divsChild>
        <w:div w:id="2105219961">
          <w:marLeft w:val="0"/>
          <w:marRight w:val="0"/>
          <w:marTop w:val="0"/>
          <w:marBottom w:val="0"/>
          <w:divBdr>
            <w:top w:val="none" w:sz="0" w:space="0" w:color="auto"/>
            <w:left w:val="none" w:sz="0" w:space="0" w:color="auto"/>
            <w:bottom w:val="none" w:sz="0" w:space="0" w:color="auto"/>
            <w:right w:val="none" w:sz="0" w:space="0" w:color="auto"/>
          </w:divBdr>
        </w:div>
        <w:div w:id="55203423">
          <w:marLeft w:val="0"/>
          <w:marRight w:val="0"/>
          <w:marTop w:val="0"/>
          <w:marBottom w:val="0"/>
          <w:divBdr>
            <w:top w:val="none" w:sz="0" w:space="0" w:color="auto"/>
            <w:left w:val="none" w:sz="0" w:space="0" w:color="auto"/>
            <w:bottom w:val="none" w:sz="0" w:space="0" w:color="auto"/>
            <w:right w:val="none" w:sz="0" w:space="0" w:color="auto"/>
          </w:divBdr>
        </w:div>
        <w:div w:id="155730395">
          <w:marLeft w:val="0"/>
          <w:marRight w:val="0"/>
          <w:marTop w:val="0"/>
          <w:marBottom w:val="0"/>
          <w:divBdr>
            <w:top w:val="none" w:sz="0" w:space="0" w:color="auto"/>
            <w:left w:val="none" w:sz="0" w:space="0" w:color="auto"/>
            <w:bottom w:val="none" w:sz="0" w:space="0" w:color="auto"/>
            <w:right w:val="none" w:sz="0" w:space="0" w:color="auto"/>
          </w:divBdr>
        </w:div>
        <w:div w:id="269357920">
          <w:marLeft w:val="0"/>
          <w:marRight w:val="0"/>
          <w:marTop w:val="0"/>
          <w:marBottom w:val="0"/>
          <w:divBdr>
            <w:top w:val="none" w:sz="0" w:space="0" w:color="auto"/>
            <w:left w:val="none" w:sz="0" w:space="0" w:color="auto"/>
            <w:bottom w:val="none" w:sz="0" w:space="0" w:color="auto"/>
            <w:right w:val="none" w:sz="0" w:space="0" w:color="auto"/>
          </w:divBdr>
        </w:div>
        <w:div w:id="1635259224">
          <w:marLeft w:val="0"/>
          <w:marRight w:val="0"/>
          <w:marTop w:val="0"/>
          <w:marBottom w:val="0"/>
          <w:divBdr>
            <w:top w:val="none" w:sz="0" w:space="0" w:color="auto"/>
            <w:left w:val="none" w:sz="0" w:space="0" w:color="auto"/>
            <w:bottom w:val="none" w:sz="0" w:space="0" w:color="auto"/>
            <w:right w:val="none" w:sz="0" w:space="0" w:color="auto"/>
          </w:divBdr>
        </w:div>
        <w:div w:id="760565349">
          <w:marLeft w:val="0"/>
          <w:marRight w:val="0"/>
          <w:marTop w:val="0"/>
          <w:marBottom w:val="0"/>
          <w:divBdr>
            <w:top w:val="none" w:sz="0" w:space="0" w:color="auto"/>
            <w:left w:val="none" w:sz="0" w:space="0" w:color="auto"/>
            <w:bottom w:val="none" w:sz="0" w:space="0" w:color="auto"/>
            <w:right w:val="none" w:sz="0" w:space="0" w:color="auto"/>
          </w:divBdr>
        </w:div>
      </w:divsChild>
    </w:div>
    <w:div w:id="1130435709">
      <w:bodyDiv w:val="1"/>
      <w:marLeft w:val="0"/>
      <w:marRight w:val="0"/>
      <w:marTop w:val="0"/>
      <w:marBottom w:val="0"/>
      <w:divBdr>
        <w:top w:val="none" w:sz="0" w:space="0" w:color="auto"/>
        <w:left w:val="none" w:sz="0" w:space="0" w:color="auto"/>
        <w:bottom w:val="none" w:sz="0" w:space="0" w:color="auto"/>
        <w:right w:val="none" w:sz="0" w:space="0" w:color="auto"/>
      </w:divBdr>
    </w:div>
    <w:div w:id="1211041722">
      <w:bodyDiv w:val="1"/>
      <w:marLeft w:val="0"/>
      <w:marRight w:val="0"/>
      <w:marTop w:val="0"/>
      <w:marBottom w:val="0"/>
      <w:divBdr>
        <w:top w:val="none" w:sz="0" w:space="0" w:color="auto"/>
        <w:left w:val="none" w:sz="0" w:space="0" w:color="auto"/>
        <w:bottom w:val="none" w:sz="0" w:space="0" w:color="auto"/>
        <w:right w:val="none" w:sz="0" w:space="0" w:color="auto"/>
      </w:divBdr>
    </w:div>
    <w:div w:id="1230576165">
      <w:bodyDiv w:val="1"/>
      <w:marLeft w:val="0"/>
      <w:marRight w:val="0"/>
      <w:marTop w:val="0"/>
      <w:marBottom w:val="0"/>
      <w:divBdr>
        <w:top w:val="none" w:sz="0" w:space="0" w:color="auto"/>
        <w:left w:val="none" w:sz="0" w:space="0" w:color="auto"/>
        <w:bottom w:val="none" w:sz="0" w:space="0" w:color="auto"/>
        <w:right w:val="none" w:sz="0" w:space="0" w:color="auto"/>
      </w:divBdr>
    </w:div>
    <w:div w:id="1304582361">
      <w:bodyDiv w:val="1"/>
      <w:marLeft w:val="0"/>
      <w:marRight w:val="0"/>
      <w:marTop w:val="0"/>
      <w:marBottom w:val="0"/>
      <w:divBdr>
        <w:top w:val="none" w:sz="0" w:space="0" w:color="auto"/>
        <w:left w:val="none" w:sz="0" w:space="0" w:color="auto"/>
        <w:bottom w:val="none" w:sz="0" w:space="0" w:color="auto"/>
        <w:right w:val="none" w:sz="0" w:space="0" w:color="auto"/>
      </w:divBdr>
    </w:div>
    <w:div w:id="1770926992">
      <w:bodyDiv w:val="1"/>
      <w:marLeft w:val="0"/>
      <w:marRight w:val="0"/>
      <w:marTop w:val="0"/>
      <w:marBottom w:val="0"/>
      <w:divBdr>
        <w:top w:val="none" w:sz="0" w:space="0" w:color="auto"/>
        <w:left w:val="none" w:sz="0" w:space="0" w:color="auto"/>
        <w:bottom w:val="none" w:sz="0" w:space="0" w:color="auto"/>
        <w:right w:val="none" w:sz="0" w:space="0" w:color="auto"/>
      </w:divBdr>
      <w:divsChild>
        <w:div w:id="457188217">
          <w:marLeft w:val="0"/>
          <w:marRight w:val="0"/>
          <w:marTop w:val="0"/>
          <w:marBottom w:val="0"/>
          <w:divBdr>
            <w:top w:val="none" w:sz="0" w:space="0" w:color="auto"/>
            <w:left w:val="none" w:sz="0" w:space="0" w:color="auto"/>
            <w:bottom w:val="none" w:sz="0" w:space="0" w:color="auto"/>
            <w:right w:val="none" w:sz="0" w:space="0" w:color="auto"/>
          </w:divBdr>
        </w:div>
        <w:div w:id="1887792793">
          <w:marLeft w:val="0"/>
          <w:marRight w:val="0"/>
          <w:marTop w:val="0"/>
          <w:marBottom w:val="0"/>
          <w:divBdr>
            <w:top w:val="none" w:sz="0" w:space="0" w:color="auto"/>
            <w:left w:val="none" w:sz="0" w:space="0" w:color="auto"/>
            <w:bottom w:val="none" w:sz="0" w:space="0" w:color="auto"/>
            <w:right w:val="none" w:sz="0" w:space="0" w:color="auto"/>
          </w:divBdr>
        </w:div>
        <w:div w:id="158424330">
          <w:marLeft w:val="0"/>
          <w:marRight w:val="0"/>
          <w:marTop w:val="0"/>
          <w:marBottom w:val="0"/>
          <w:divBdr>
            <w:top w:val="none" w:sz="0" w:space="0" w:color="auto"/>
            <w:left w:val="none" w:sz="0" w:space="0" w:color="auto"/>
            <w:bottom w:val="none" w:sz="0" w:space="0" w:color="auto"/>
            <w:right w:val="none" w:sz="0" w:space="0" w:color="auto"/>
          </w:divBdr>
        </w:div>
        <w:div w:id="2095198314">
          <w:marLeft w:val="0"/>
          <w:marRight w:val="0"/>
          <w:marTop w:val="0"/>
          <w:marBottom w:val="0"/>
          <w:divBdr>
            <w:top w:val="none" w:sz="0" w:space="0" w:color="auto"/>
            <w:left w:val="none" w:sz="0" w:space="0" w:color="auto"/>
            <w:bottom w:val="none" w:sz="0" w:space="0" w:color="auto"/>
            <w:right w:val="none" w:sz="0" w:space="0" w:color="auto"/>
          </w:divBdr>
        </w:div>
      </w:divsChild>
    </w:div>
    <w:div w:id="2137478064">
      <w:bodyDiv w:val="1"/>
      <w:marLeft w:val="0"/>
      <w:marRight w:val="0"/>
      <w:marTop w:val="0"/>
      <w:marBottom w:val="0"/>
      <w:divBdr>
        <w:top w:val="none" w:sz="0" w:space="0" w:color="auto"/>
        <w:left w:val="none" w:sz="0" w:space="0" w:color="auto"/>
        <w:bottom w:val="none" w:sz="0" w:space="0" w:color="auto"/>
        <w:right w:val="none" w:sz="0" w:space="0" w:color="auto"/>
      </w:divBdr>
      <w:divsChild>
        <w:div w:id="2116244144">
          <w:marLeft w:val="0"/>
          <w:marRight w:val="0"/>
          <w:marTop w:val="0"/>
          <w:marBottom w:val="0"/>
          <w:divBdr>
            <w:top w:val="none" w:sz="0" w:space="0" w:color="auto"/>
            <w:left w:val="none" w:sz="0" w:space="0" w:color="auto"/>
            <w:bottom w:val="none" w:sz="0" w:space="0" w:color="auto"/>
            <w:right w:val="none" w:sz="0" w:space="0" w:color="auto"/>
          </w:divBdr>
        </w:div>
        <w:div w:id="1015041030">
          <w:marLeft w:val="0"/>
          <w:marRight w:val="0"/>
          <w:marTop w:val="0"/>
          <w:marBottom w:val="0"/>
          <w:divBdr>
            <w:top w:val="none" w:sz="0" w:space="0" w:color="auto"/>
            <w:left w:val="none" w:sz="0" w:space="0" w:color="auto"/>
            <w:bottom w:val="none" w:sz="0" w:space="0" w:color="auto"/>
            <w:right w:val="none" w:sz="0" w:space="0" w:color="auto"/>
          </w:divBdr>
        </w:div>
        <w:div w:id="329451717">
          <w:marLeft w:val="0"/>
          <w:marRight w:val="0"/>
          <w:marTop w:val="0"/>
          <w:marBottom w:val="0"/>
          <w:divBdr>
            <w:top w:val="none" w:sz="0" w:space="0" w:color="auto"/>
            <w:left w:val="none" w:sz="0" w:space="0" w:color="auto"/>
            <w:bottom w:val="none" w:sz="0" w:space="0" w:color="auto"/>
            <w:right w:val="none" w:sz="0" w:space="0" w:color="auto"/>
          </w:divBdr>
        </w:div>
        <w:div w:id="1815754689">
          <w:marLeft w:val="0"/>
          <w:marRight w:val="0"/>
          <w:marTop w:val="0"/>
          <w:marBottom w:val="0"/>
          <w:divBdr>
            <w:top w:val="none" w:sz="0" w:space="0" w:color="auto"/>
            <w:left w:val="none" w:sz="0" w:space="0" w:color="auto"/>
            <w:bottom w:val="none" w:sz="0" w:space="0" w:color="auto"/>
            <w:right w:val="none" w:sz="0" w:space="0" w:color="auto"/>
          </w:divBdr>
        </w:div>
        <w:div w:id="1864400648">
          <w:marLeft w:val="0"/>
          <w:marRight w:val="0"/>
          <w:marTop w:val="0"/>
          <w:marBottom w:val="0"/>
          <w:divBdr>
            <w:top w:val="none" w:sz="0" w:space="0" w:color="auto"/>
            <w:left w:val="none" w:sz="0" w:space="0" w:color="auto"/>
            <w:bottom w:val="none" w:sz="0" w:space="0" w:color="auto"/>
            <w:right w:val="none" w:sz="0" w:space="0" w:color="auto"/>
          </w:divBdr>
        </w:div>
        <w:div w:id="189099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oleObject" Target="embeddings/oleObject6.bin"/><Relationship Id="rId34" Type="http://schemas.openxmlformats.org/officeDocument/2006/relationships/oleObject" Target="embeddings/oleObject13.bin"/><Relationship Id="rId42" Type="http://schemas.openxmlformats.org/officeDocument/2006/relationships/image" Target="media/image16.wmf"/><Relationship Id="rId47" Type="http://schemas.openxmlformats.org/officeDocument/2006/relationships/oleObject" Target="embeddings/oleObject20.bin"/><Relationship Id="rId50" Type="http://schemas.openxmlformats.org/officeDocument/2006/relationships/image" Target="media/image20.wmf"/><Relationship Id="rId55" Type="http://schemas.openxmlformats.org/officeDocument/2006/relationships/oleObject" Target="embeddings/oleObject24.bin"/><Relationship Id="rId63" Type="http://schemas.openxmlformats.org/officeDocument/2006/relationships/oleObject" Target="embeddings/oleObject29.bin"/><Relationship Id="rId68" Type="http://schemas.openxmlformats.org/officeDocument/2006/relationships/image" Target="media/image28.wmf"/><Relationship Id="rId76" Type="http://schemas.openxmlformats.org/officeDocument/2006/relationships/image" Target="media/image32.wmf"/><Relationship Id="rId84" Type="http://schemas.openxmlformats.org/officeDocument/2006/relationships/image" Target="media/image43.wmf"/><Relationship Id="rId89" Type="http://schemas.openxmlformats.org/officeDocument/2006/relationships/image" Target="media/image45.wmf"/><Relationship Id="rId97" Type="http://schemas.openxmlformats.org/officeDocument/2006/relationships/hyperlink" Target="http://www.erik.johnson.econ.gatech.edu/docs/epjohnson_rps.pdf" TargetMode="External"/><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oleObject" Target="embeddings/oleObject62.bin"/><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image" Target="media/image10.wmf"/><Relationship Id="rId11" Type="http://schemas.openxmlformats.org/officeDocument/2006/relationships/oleObject" Target="embeddings/oleObject1.bin"/><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oleObject" Target="embeddings/oleObject15.bin"/><Relationship Id="rId40" Type="http://schemas.openxmlformats.org/officeDocument/2006/relationships/image" Target="media/image15.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4.wmf"/><Relationship Id="rId66" Type="http://schemas.openxmlformats.org/officeDocument/2006/relationships/image" Target="media/image27.wmf"/><Relationship Id="rId74" Type="http://schemas.openxmlformats.org/officeDocument/2006/relationships/image" Target="media/image31.wmf"/><Relationship Id="rId79" Type="http://schemas.openxmlformats.org/officeDocument/2006/relationships/oleObject" Target="embeddings/oleObject37.bin"/><Relationship Id="rId87" Type="http://schemas.openxmlformats.org/officeDocument/2006/relationships/oleObject" Target="embeddings/oleObject48.bin"/><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image" Target="media/image35.wmf"/><Relationship Id="rId90" Type="http://schemas.openxmlformats.org/officeDocument/2006/relationships/oleObject" Target="embeddings/oleObject50.bin"/><Relationship Id="rId95" Type="http://schemas.openxmlformats.org/officeDocument/2006/relationships/image" Target="media/image56.png"/><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oleObject" Target="embeddings/oleObject7.bin"/><Relationship Id="rId27" Type="http://schemas.openxmlformats.org/officeDocument/2006/relationships/image" Target="media/image9.wmf"/><Relationship Id="rId30" Type="http://schemas.openxmlformats.org/officeDocument/2006/relationships/oleObject" Target="embeddings/oleObject11.bin"/><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19.wmf"/><Relationship Id="rId56" Type="http://schemas.openxmlformats.org/officeDocument/2006/relationships/image" Target="media/image23.wmf"/><Relationship Id="rId64" Type="http://schemas.openxmlformats.org/officeDocument/2006/relationships/image" Target="media/image26.wmf"/><Relationship Id="rId69" Type="http://schemas.openxmlformats.org/officeDocument/2006/relationships/oleObject" Target="embeddings/oleObject32.bin"/><Relationship Id="rId77" Type="http://schemas.openxmlformats.org/officeDocument/2006/relationships/oleObject" Target="embeddings/oleObject36.bin"/><Relationship Id="rId100" Type="http://schemas.openxmlformats.org/officeDocument/2006/relationships/fontTable" Target="fontTable.xml"/><Relationship Id="rId8" Type="http://schemas.openxmlformats.org/officeDocument/2006/relationships/hyperlink" Target="mailto:hiroshi.hamasak@jp.fujitsu.com" TargetMode="External"/><Relationship Id="rId51" Type="http://schemas.openxmlformats.org/officeDocument/2006/relationships/oleObject" Target="embeddings/oleObject22.bin"/><Relationship Id="rId72" Type="http://schemas.openxmlformats.org/officeDocument/2006/relationships/image" Target="media/image30.wmf"/><Relationship Id="rId80" Type="http://schemas.openxmlformats.org/officeDocument/2006/relationships/image" Target="media/image34.wmf"/><Relationship Id="rId85" Type="http://schemas.openxmlformats.org/officeDocument/2006/relationships/oleObject" Target="embeddings/oleObject47.bin"/><Relationship Id="rId93" Type="http://schemas.openxmlformats.org/officeDocument/2006/relationships/image" Target="media/image55.wmf"/><Relationship Id="rId98" Type="http://schemas.openxmlformats.org/officeDocument/2006/relationships/hyperlink" Target="http://www.eia.doe.gov/oiaf/analysispaper/elasticity/index.html" TargetMode="Externa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oleObject" Target="embeddings/oleObject26.bin"/><Relationship Id="rId67" Type="http://schemas.openxmlformats.org/officeDocument/2006/relationships/oleObject" Target="embeddings/oleObject31.bin"/><Relationship Id="rId20" Type="http://schemas.openxmlformats.org/officeDocument/2006/relationships/image" Target="media/image6.wmf"/><Relationship Id="rId41" Type="http://schemas.openxmlformats.org/officeDocument/2006/relationships/oleObject" Target="embeddings/oleObject17.bin"/><Relationship Id="rId54" Type="http://schemas.openxmlformats.org/officeDocument/2006/relationships/image" Target="media/image22.wmf"/><Relationship Id="rId62" Type="http://schemas.openxmlformats.org/officeDocument/2006/relationships/oleObject" Target="embeddings/oleObject28.bin"/><Relationship Id="rId70" Type="http://schemas.openxmlformats.org/officeDocument/2006/relationships/image" Target="media/image29.wmf"/><Relationship Id="rId75" Type="http://schemas.openxmlformats.org/officeDocument/2006/relationships/oleObject" Target="embeddings/oleObject35.bin"/><Relationship Id="rId83" Type="http://schemas.openxmlformats.org/officeDocument/2006/relationships/oleObject" Target="embeddings/oleObject39.bin"/><Relationship Id="rId88" Type="http://schemas.openxmlformats.org/officeDocument/2006/relationships/oleObject" Target="embeddings/oleObject49.bin"/><Relationship Id="rId91" Type="http://schemas.openxmlformats.org/officeDocument/2006/relationships/oleObject" Target="embeddings/oleObject61.bin"/><Relationship Id="rId96" Type="http://schemas.openxmlformats.org/officeDocument/2006/relationships/image" Target="media/image57.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7.wmf"/><Relationship Id="rId28" Type="http://schemas.openxmlformats.org/officeDocument/2006/relationships/oleObject" Target="embeddings/oleObject10.bin"/><Relationship Id="rId36" Type="http://schemas.openxmlformats.org/officeDocument/2006/relationships/image" Target="media/image13.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1.wmf"/><Relationship Id="rId31" Type="http://schemas.openxmlformats.org/officeDocument/2006/relationships/image" Target="media/image11.wmf"/><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image" Target="media/image25.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3.wmf"/><Relationship Id="rId81" Type="http://schemas.openxmlformats.org/officeDocument/2006/relationships/oleObject" Target="embeddings/oleObject38.bin"/><Relationship Id="rId86" Type="http://schemas.openxmlformats.org/officeDocument/2006/relationships/image" Target="media/image44.wmf"/><Relationship Id="rId94" Type="http://schemas.openxmlformats.org/officeDocument/2006/relationships/oleObject" Target="embeddings/oleObject63.bin"/><Relationship Id="rId99" Type="http://schemas.openxmlformats.org/officeDocument/2006/relationships/hyperlink" Target="http://www.stanford.edu/group/fwolak/cgi-bin/sites/default/files/files/regulating_wholesale_electricity_wolak_mar08-final.pdf"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hamasaki@cipps.org" TargetMode="External"/><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oleObject" Target="embeddings/oleObject16.bin"/></Relationships>
</file>

<file path=word/_rels/footnotes.xml.rels><?xml version="1.0" encoding="UTF-8" standalone="yes"?>
<Relationships xmlns="http://schemas.openxmlformats.org/package/2006/relationships"><Relationship Id="rId8" Type="http://schemas.openxmlformats.org/officeDocument/2006/relationships/image" Target="media/image39.wmf"/><Relationship Id="rId13" Type="http://schemas.openxmlformats.org/officeDocument/2006/relationships/oleObject" Target="embeddings/oleObject45.bin"/><Relationship Id="rId18" Type="http://schemas.openxmlformats.org/officeDocument/2006/relationships/image" Target="media/image47.wmf"/><Relationship Id="rId26" Type="http://schemas.openxmlformats.org/officeDocument/2006/relationships/image" Target="media/image51.wmf"/><Relationship Id="rId3" Type="http://schemas.openxmlformats.org/officeDocument/2006/relationships/oleObject" Target="embeddings/oleObject40.bin"/><Relationship Id="rId21" Type="http://schemas.openxmlformats.org/officeDocument/2006/relationships/oleObject" Target="embeddings/oleObject53.bin"/><Relationship Id="rId34" Type="http://schemas.openxmlformats.org/officeDocument/2006/relationships/image" Target="media/image35.wmf"/><Relationship Id="rId7" Type="http://schemas.openxmlformats.org/officeDocument/2006/relationships/oleObject" Target="embeddings/oleObject42.bin"/><Relationship Id="rId12" Type="http://schemas.openxmlformats.org/officeDocument/2006/relationships/image" Target="media/image41.wmf"/><Relationship Id="rId17" Type="http://schemas.openxmlformats.org/officeDocument/2006/relationships/oleObject" Target="embeddings/oleObject51.bin"/><Relationship Id="rId25" Type="http://schemas.openxmlformats.org/officeDocument/2006/relationships/oleObject" Target="embeddings/oleObject55.bin"/><Relationship Id="rId33" Type="http://schemas.openxmlformats.org/officeDocument/2006/relationships/oleObject" Target="embeddings/oleObject59.bin"/><Relationship Id="rId2" Type="http://schemas.openxmlformats.org/officeDocument/2006/relationships/image" Target="media/image36.wmf"/><Relationship Id="rId16" Type="http://schemas.openxmlformats.org/officeDocument/2006/relationships/image" Target="media/image46.wmf"/><Relationship Id="rId20" Type="http://schemas.openxmlformats.org/officeDocument/2006/relationships/image" Target="media/image48.wmf"/><Relationship Id="rId29" Type="http://schemas.openxmlformats.org/officeDocument/2006/relationships/oleObject" Target="embeddings/oleObject57.bin"/><Relationship Id="rId1" Type="http://schemas.openxmlformats.org/officeDocument/2006/relationships/hyperlink" Target="http://www.eia.gov/cfapps/ipdbproject/IEDIndex3.cfm?tid=2&amp;pid=2&amp;aid=7" TargetMode="External"/><Relationship Id="rId6" Type="http://schemas.openxmlformats.org/officeDocument/2006/relationships/image" Target="media/image38.wmf"/><Relationship Id="rId11" Type="http://schemas.openxmlformats.org/officeDocument/2006/relationships/oleObject" Target="embeddings/oleObject44.bin"/><Relationship Id="rId24" Type="http://schemas.openxmlformats.org/officeDocument/2006/relationships/image" Target="media/image50.wmf"/><Relationship Id="rId32" Type="http://schemas.openxmlformats.org/officeDocument/2006/relationships/image" Target="media/image54.wmf"/><Relationship Id="rId5" Type="http://schemas.openxmlformats.org/officeDocument/2006/relationships/oleObject" Target="embeddings/oleObject41.bin"/><Relationship Id="rId15" Type="http://schemas.openxmlformats.org/officeDocument/2006/relationships/oleObject" Target="embeddings/oleObject46.bin"/><Relationship Id="rId23" Type="http://schemas.openxmlformats.org/officeDocument/2006/relationships/oleObject" Target="embeddings/oleObject54.bin"/><Relationship Id="rId28" Type="http://schemas.openxmlformats.org/officeDocument/2006/relationships/image" Target="media/image52.wmf"/><Relationship Id="rId10" Type="http://schemas.openxmlformats.org/officeDocument/2006/relationships/image" Target="media/image40.wmf"/><Relationship Id="rId19" Type="http://schemas.openxmlformats.org/officeDocument/2006/relationships/oleObject" Target="embeddings/oleObject52.bin"/><Relationship Id="rId31" Type="http://schemas.openxmlformats.org/officeDocument/2006/relationships/oleObject" Target="embeddings/oleObject58.bin"/><Relationship Id="rId4" Type="http://schemas.openxmlformats.org/officeDocument/2006/relationships/image" Target="media/image37.wmf"/><Relationship Id="rId9" Type="http://schemas.openxmlformats.org/officeDocument/2006/relationships/oleObject" Target="embeddings/oleObject43.bin"/><Relationship Id="rId14" Type="http://schemas.openxmlformats.org/officeDocument/2006/relationships/image" Target="media/image42.wmf"/><Relationship Id="rId22" Type="http://schemas.openxmlformats.org/officeDocument/2006/relationships/image" Target="media/image49.wmf"/><Relationship Id="rId27" Type="http://schemas.openxmlformats.org/officeDocument/2006/relationships/oleObject" Target="embeddings/oleObject56.bin"/><Relationship Id="rId30" Type="http://schemas.openxmlformats.org/officeDocument/2006/relationships/image" Target="media/image53.wmf"/><Relationship Id="rId35"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673BF-D100-4EF3-8016-C37B14BC2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30</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Returns to scale in the electricity supply sector, imperfect competition, and efficiency of climate change policies</vt:lpstr>
    </vt:vector>
  </TitlesOfParts>
  <Company>TT</Company>
  <LinksUpToDate>false</LinksUpToDate>
  <CharactersWithSpaces>47044</CharactersWithSpaces>
  <SharedDoc>false</SharedDoc>
  <HLinks>
    <vt:vector size="24" baseType="variant">
      <vt:variant>
        <vt:i4>2162786</vt:i4>
      </vt:variant>
      <vt:variant>
        <vt:i4>102</vt:i4>
      </vt:variant>
      <vt:variant>
        <vt:i4>0</vt:i4>
      </vt:variant>
      <vt:variant>
        <vt:i4>5</vt:i4>
      </vt:variant>
      <vt:variant>
        <vt:lpwstr>http://www.eia.doe.gov/oiaf/analysispaper/elasticity/index.html</vt:lpwstr>
      </vt:variant>
      <vt:variant>
        <vt:lpwstr/>
      </vt:variant>
      <vt:variant>
        <vt:i4>2097245</vt:i4>
      </vt:variant>
      <vt:variant>
        <vt:i4>99</vt:i4>
      </vt:variant>
      <vt:variant>
        <vt:i4>0</vt:i4>
      </vt:variant>
      <vt:variant>
        <vt:i4>5</vt:i4>
      </vt:variant>
      <vt:variant>
        <vt:lpwstr>http://www.erik.johnson.econ.gatech.edu/docs/epjohnson_rps.pdf</vt:lpwstr>
      </vt:variant>
      <vt:variant>
        <vt:lpwstr/>
      </vt:variant>
      <vt:variant>
        <vt:i4>5177372</vt:i4>
      </vt:variant>
      <vt:variant>
        <vt:i4>15</vt:i4>
      </vt:variant>
      <vt:variant>
        <vt:i4>0</vt:i4>
      </vt:variant>
      <vt:variant>
        <vt:i4>5</vt:i4>
      </vt:variant>
      <vt:variant>
        <vt:lpwstr>http://unstats.un.org/unsd/snaama/dnlList.asp</vt:lpwstr>
      </vt:variant>
      <vt:variant>
        <vt:lpwstr/>
      </vt:variant>
      <vt:variant>
        <vt:i4>852018</vt:i4>
      </vt:variant>
      <vt:variant>
        <vt:i4>12</vt:i4>
      </vt:variant>
      <vt:variant>
        <vt:i4>0</vt:i4>
      </vt:variant>
      <vt:variant>
        <vt:i4>5</vt:i4>
      </vt:variant>
      <vt:variant>
        <vt:lpwstr>http://epp.eurostat.ec.europa.eu/portal/page/portal/statistics/search_database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Returns to scale in the electricity supply sector, imperfect competition, and efficiency of climate change policies</dc:title>
  <dc:subject/>
  <dc:creator>TT</dc:creator>
  <cp:keywords/>
  <dc:description/>
  <cp:lastModifiedBy>TT</cp:lastModifiedBy>
  <cp:revision>3</cp:revision>
  <cp:lastPrinted>2014-05-02T23:26:00Z</cp:lastPrinted>
  <dcterms:created xsi:type="dcterms:W3CDTF">2014-08-31T22:56:00Z</dcterms:created>
  <dcterms:modified xsi:type="dcterms:W3CDTF">2014-08-31T23:22:00Z</dcterms:modified>
</cp:coreProperties>
</file>