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AFE" w:rsidRDefault="00913AFE" w:rsidP="00913AFE">
      <w:pPr>
        <w:jc w:val="center"/>
        <w:rPr>
          <w:b/>
        </w:rPr>
      </w:pPr>
    </w:p>
    <w:p w:rsidR="00560C0F" w:rsidRPr="00913AFE" w:rsidRDefault="00560C0F" w:rsidP="00913AFE">
      <w:pPr>
        <w:jc w:val="center"/>
        <w:rPr>
          <w:b/>
        </w:rPr>
      </w:pPr>
      <w:r w:rsidRPr="00913AFE">
        <w:rPr>
          <w:b/>
        </w:rPr>
        <w:t>The Impact of Population Ageing on the Labour Market:</w:t>
      </w:r>
    </w:p>
    <w:p w:rsidR="00560C0F" w:rsidRPr="00913AFE" w:rsidRDefault="00560C0F" w:rsidP="00913AFE">
      <w:pPr>
        <w:jc w:val="center"/>
        <w:rPr>
          <w:b/>
        </w:rPr>
      </w:pPr>
      <w:r w:rsidRPr="00913AFE">
        <w:rPr>
          <w:b/>
        </w:rPr>
        <w:t>Evidence from Overlapping Generations Computable General Equilibrium</w:t>
      </w:r>
    </w:p>
    <w:p w:rsidR="00560C0F" w:rsidRPr="00913AFE" w:rsidRDefault="00560C0F" w:rsidP="00913AFE">
      <w:pPr>
        <w:jc w:val="center"/>
        <w:rPr>
          <w:b/>
        </w:rPr>
      </w:pPr>
      <w:r w:rsidRPr="00913AFE">
        <w:rPr>
          <w:b/>
        </w:rPr>
        <w:t>(OLG-CGE) Model of Scotland</w:t>
      </w:r>
      <w:r w:rsidR="00A443D8" w:rsidRPr="00913AFE">
        <w:rPr>
          <w:b/>
        </w:rPr>
        <w:t xml:space="preserve"> </w:t>
      </w:r>
      <w:r w:rsidR="00C513AB">
        <w:t>(*</w:t>
      </w:r>
      <w:r w:rsidR="00A443D8" w:rsidRPr="00913AFE">
        <w:t>)</w:t>
      </w:r>
    </w:p>
    <w:p w:rsidR="00560C0F" w:rsidRDefault="00560C0F" w:rsidP="00913AFE">
      <w:pPr>
        <w:jc w:val="center"/>
      </w:pPr>
    </w:p>
    <w:p w:rsidR="00913AFE" w:rsidRPr="00913AFE" w:rsidRDefault="00913AFE" w:rsidP="00913AFE">
      <w:pPr>
        <w:jc w:val="center"/>
      </w:pPr>
    </w:p>
    <w:p w:rsidR="00D91524" w:rsidRPr="00913AFE" w:rsidRDefault="00560C0F" w:rsidP="00913AFE">
      <w:pPr>
        <w:jc w:val="center"/>
      </w:pPr>
      <w:proofErr w:type="gramStart"/>
      <w:r w:rsidRPr="00913AFE">
        <w:t>b</w:t>
      </w:r>
      <w:r w:rsidR="00D91524" w:rsidRPr="00913AFE">
        <w:t>y</w:t>
      </w:r>
      <w:proofErr w:type="gramEnd"/>
    </w:p>
    <w:p w:rsidR="00560C0F" w:rsidRDefault="00560C0F" w:rsidP="00913AFE">
      <w:pPr>
        <w:jc w:val="center"/>
      </w:pPr>
    </w:p>
    <w:p w:rsidR="00913AFE" w:rsidRPr="00913AFE" w:rsidRDefault="00913AFE" w:rsidP="00913AFE">
      <w:pPr>
        <w:jc w:val="center"/>
      </w:pPr>
    </w:p>
    <w:p w:rsidR="00560C0F" w:rsidRPr="00913AFE" w:rsidRDefault="00D91524" w:rsidP="00913AFE">
      <w:pPr>
        <w:jc w:val="center"/>
      </w:pPr>
      <w:r w:rsidRPr="00913AFE">
        <w:t>Katerina Lisenkova</w:t>
      </w:r>
    </w:p>
    <w:p w:rsidR="00560C0F" w:rsidRPr="00913AFE" w:rsidRDefault="00560C0F" w:rsidP="00913AFE">
      <w:pPr>
        <w:jc w:val="center"/>
      </w:pPr>
      <w:r w:rsidRPr="00913AFE">
        <w:t xml:space="preserve">National Institute of </w:t>
      </w:r>
      <w:r w:rsidR="002139D1">
        <w:t xml:space="preserve">Economic </w:t>
      </w:r>
      <w:r w:rsidR="00655F1A">
        <w:t xml:space="preserve">and Social </w:t>
      </w:r>
      <w:r w:rsidR="002139D1">
        <w:t>Research</w:t>
      </w:r>
    </w:p>
    <w:p w:rsidR="00560C0F" w:rsidRPr="00913AFE" w:rsidRDefault="00560C0F" w:rsidP="00913AFE">
      <w:pPr>
        <w:jc w:val="center"/>
      </w:pPr>
    </w:p>
    <w:p w:rsidR="00D91524" w:rsidRPr="00913AFE" w:rsidRDefault="00D91524" w:rsidP="00913AFE">
      <w:pPr>
        <w:jc w:val="center"/>
      </w:pPr>
      <w:r w:rsidRPr="00913AFE">
        <w:t xml:space="preserve">Marcel </w:t>
      </w:r>
      <w:r w:rsidR="005A4104" w:rsidRPr="00913AFE">
        <w:t>Mérette</w:t>
      </w:r>
    </w:p>
    <w:p w:rsidR="00560C0F" w:rsidRPr="00913AFE" w:rsidRDefault="00560C0F" w:rsidP="00913AFE">
      <w:pPr>
        <w:jc w:val="center"/>
      </w:pPr>
      <w:r w:rsidRPr="00913AFE">
        <w:t>University of Ottawa</w:t>
      </w:r>
    </w:p>
    <w:p w:rsidR="00560C0F" w:rsidRPr="00913AFE" w:rsidRDefault="00560C0F" w:rsidP="00913AFE">
      <w:pPr>
        <w:jc w:val="center"/>
      </w:pPr>
    </w:p>
    <w:p w:rsidR="00D91524" w:rsidRPr="00913AFE" w:rsidRDefault="00D91524" w:rsidP="00913AFE">
      <w:pPr>
        <w:jc w:val="center"/>
      </w:pPr>
      <w:r w:rsidRPr="00913AFE">
        <w:t>Robert Wright</w:t>
      </w:r>
      <w:r w:rsidR="00F8484A">
        <w:t xml:space="preserve"> </w:t>
      </w:r>
    </w:p>
    <w:p w:rsidR="00560C0F" w:rsidRPr="00913AFE" w:rsidRDefault="00560C0F" w:rsidP="00913AFE">
      <w:pPr>
        <w:jc w:val="center"/>
      </w:pPr>
      <w:r w:rsidRPr="00913AFE">
        <w:t>University of Strathclyde</w:t>
      </w:r>
    </w:p>
    <w:p w:rsidR="00A443D8" w:rsidRDefault="00A443D8" w:rsidP="00913AFE">
      <w:pPr>
        <w:jc w:val="center"/>
      </w:pPr>
    </w:p>
    <w:p w:rsidR="00913AFE" w:rsidRPr="00913AFE" w:rsidRDefault="00913AFE" w:rsidP="00913AFE">
      <w:pPr>
        <w:jc w:val="center"/>
      </w:pPr>
    </w:p>
    <w:p w:rsidR="005F105F" w:rsidRPr="00913AFE" w:rsidRDefault="00C513AB" w:rsidP="00913AFE">
      <w:pPr>
        <w:jc w:val="center"/>
      </w:pPr>
      <w:r>
        <w:t xml:space="preserve">September </w:t>
      </w:r>
      <w:r w:rsidR="00A443D8" w:rsidRPr="00913AFE">
        <w:t>2012</w:t>
      </w:r>
    </w:p>
    <w:p w:rsidR="005F105F" w:rsidRDefault="005F105F" w:rsidP="00913AFE">
      <w:pPr>
        <w:jc w:val="both"/>
      </w:pPr>
    </w:p>
    <w:p w:rsidR="00913AFE" w:rsidRPr="00913AFE" w:rsidRDefault="00913AFE" w:rsidP="00913AFE">
      <w:pPr>
        <w:jc w:val="both"/>
      </w:pPr>
    </w:p>
    <w:p w:rsidR="005F105F" w:rsidRPr="00913AFE" w:rsidRDefault="005F105F" w:rsidP="00913AFE">
      <w:pPr>
        <w:jc w:val="both"/>
      </w:pPr>
      <w:r w:rsidRPr="00913AFE">
        <w:rPr>
          <w:i/>
        </w:rPr>
        <w:t>Abstract:</w:t>
      </w:r>
      <w:r w:rsidRPr="00913AFE">
        <w:t xml:space="preserve"> This paper presents a dynamic Overlapping Generations Computable General Equilibrium (OLG-CGE) model of Scotland. The model is used to examine the impact of population ageing on the labour market. More specifically, it is used to evaluate the effects of labour force decline and labour force ageing on key macr</w:t>
      </w:r>
      <w:r w:rsidR="002B352D">
        <w:t>o-economic variables. The second</w:t>
      </w:r>
      <w:r w:rsidRPr="00913AFE">
        <w:t xml:space="preserve"> effect is assumed to operate through age-specific productivity and labour force participation. In the analysis, particular attention is paid to how population ageing impinges on the government expenditure constraint. The basic structure of the model follows in the </w:t>
      </w:r>
      <w:proofErr w:type="spellStart"/>
      <w:r w:rsidRPr="00913AFE">
        <w:t>Auerbach</w:t>
      </w:r>
      <w:proofErr w:type="spellEnd"/>
      <w:r w:rsidRPr="00913AFE">
        <w:t xml:space="preserve"> and </w:t>
      </w:r>
      <w:proofErr w:type="spellStart"/>
      <w:r w:rsidRPr="00913AFE">
        <w:t>Kotlikoff</w:t>
      </w:r>
      <w:proofErr w:type="spellEnd"/>
      <w:r w:rsidRPr="00913AFE">
        <w:t xml:space="preserve"> tradition. However, the model takes into consideration directly age-specific mortality. This is analogous to “building in” a cohort-component population projection structure to the model, which allows more complex and more realistic demographic scenarios to be considered.</w:t>
      </w:r>
    </w:p>
    <w:p w:rsidR="00AE3DCD" w:rsidRPr="00913AFE" w:rsidRDefault="00AE3DCD" w:rsidP="00913AFE">
      <w:pPr>
        <w:jc w:val="center"/>
        <w:rPr>
          <w:b/>
        </w:rPr>
      </w:pPr>
    </w:p>
    <w:p w:rsidR="00DA13E6" w:rsidRDefault="00DA13E6" w:rsidP="00913AFE">
      <w:pPr>
        <w:jc w:val="both"/>
      </w:pPr>
    </w:p>
    <w:p w:rsidR="00913AFE" w:rsidRDefault="00C513AB" w:rsidP="00913AFE">
      <w:pPr>
        <w:jc w:val="both"/>
      </w:pPr>
      <w:r>
        <w:t>JEL Classification:</w:t>
      </w:r>
      <w:r w:rsidR="00F8484A">
        <w:tab/>
        <w:t>J11</w:t>
      </w:r>
    </w:p>
    <w:p w:rsidR="00F8484A" w:rsidRDefault="00F8484A" w:rsidP="00913AFE">
      <w:pPr>
        <w:jc w:val="both"/>
      </w:pPr>
    </w:p>
    <w:p w:rsidR="00C513AB" w:rsidRDefault="00C513AB" w:rsidP="00913AFE">
      <w:pPr>
        <w:jc w:val="both"/>
      </w:pPr>
      <w:r>
        <w:t>Keywords:</w:t>
      </w:r>
      <w:r>
        <w:tab/>
        <w:t>CGE modelling, population ageing, Scotland</w:t>
      </w:r>
    </w:p>
    <w:p w:rsidR="00913AFE" w:rsidRPr="00913AFE" w:rsidRDefault="00C513AB" w:rsidP="00913AFE">
      <w:pPr>
        <w:jc w:val="both"/>
      </w:pPr>
      <w:r>
        <w:t xml:space="preserve"> </w:t>
      </w:r>
    </w:p>
    <w:p w:rsidR="00A443D8" w:rsidRPr="00913AFE" w:rsidRDefault="00913AFE" w:rsidP="00913AFE">
      <w:pPr>
        <w:jc w:val="both"/>
      </w:pPr>
      <w:r w:rsidRPr="00913AFE">
        <w:t xml:space="preserve"> </w:t>
      </w:r>
    </w:p>
    <w:p w:rsidR="001243D6" w:rsidRDefault="00C513AB" w:rsidP="001243D6">
      <w:pPr>
        <w:jc w:val="both"/>
      </w:pPr>
      <w:r>
        <w:t>(*</w:t>
      </w:r>
      <w:r w:rsidR="00A443D8" w:rsidRPr="00913AFE">
        <w:t xml:space="preserve">) Financial support from the Economic and Social Research Council under </w:t>
      </w:r>
      <w:r w:rsidR="00913AFE">
        <w:t xml:space="preserve">the </w:t>
      </w:r>
      <w:r w:rsidR="00A443D8" w:rsidRPr="00913AFE">
        <w:t>gran</w:t>
      </w:r>
      <w:r w:rsidR="00913AFE">
        <w:t>t:</w:t>
      </w:r>
      <w:r w:rsidR="00A443D8" w:rsidRPr="00913AFE">
        <w:t xml:space="preserve"> “</w:t>
      </w:r>
      <w:r w:rsidR="00A443D8" w:rsidRPr="00913AFE">
        <w:rPr>
          <w:i/>
        </w:rPr>
        <w:t>Developing</w:t>
      </w:r>
      <w:r w:rsidR="00A443D8" w:rsidRPr="00913AFE">
        <w:rPr>
          <w:i/>
          <w:snapToGrid w:val="0"/>
        </w:rPr>
        <w:t xml:space="preserve"> an OLG-CGE Model for Scotland”</w:t>
      </w:r>
      <w:r w:rsidR="00913AFE">
        <w:rPr>
          <w:snapToGrid w:val="0"/>
        </w:rPr>
        <w:t>,</w:t>
      </w:r>
      <w:r w:rsidR="00913AFE">
        <w:rPr>
          <w:i/>
          <w:snapToGrid w:val="0"/>
        </w:rPr>
        <w:t xml:space="preserve"> </w:t>
      </w:r>
      <w:r w:rsidR="00913AFE">
        <w:rPr>
          <w:snapToGrid w:val="0"/>
        </w:rPr>
        <w:t>through the Centre for Population Change</w:t>
      </w:r>
      <w:r w:rsidR="00A443D8" w:rsidRPr="00913AFE">
        <w:rPr>
          <w:snapToGrid w:val="0"/>
        </w:rPr>
        <w:t xml:space="preserve">, </w:t>
      </w:r>
      <w:r w:rsidR="00A443D8" w:rsidRPr="00913AFE">
        <w:t>is gratefully acknowledged.</w:t>
      </w:r>
      <w:r w:rsidR="00F8484A">
        <w:t xml:space="preserve"> </w:t>
      </w:r>
      <w:r w:rsidR="00A443D8" w:rsidRPr="00913AFE">
        <w:t xml:space="preserve">Corresponding author: Robert E. Wright, Department of Economics, University of Strathclyde, 130 </w:t>
      </w:r>
      <w:proofErr w:type="spellStart"/>
      <w:r w:rsidR="00A443D8" w:rsidRPr="00913AFE">
        <w:t>Rotterow</w:t>
      </w:r>
      <w:proofErr w:type="spellEnd"/>
      <w:r w:rsidR="00A443D8" w:rsidRPr="00913AFE">
        <w:t xml:space="preserve">, Glasgow, Scotland, UK, G4 0GE, </w:t>
      </w:r>
      <w:proofErr w:type="spellStart"/>
      <w:r w:rsidR="00A443D8" w:rsidRPr="00913AFE">
        <w:t>tel</w:t>
      </w:r>
      <w:proofErr w:type="spellEnd"/>
      <w:r w:rsidR="00A443D8" w:rsidRPr="00913AFE">
        <w:t>: +44 (0)141-330-5138, email: r.e.wright@strath.ac.uk.</w:t>
      </w:r>
    </w:p>
    <w:p w:rsidR="001243D6" w:rsidRDefault="001243D6" w:rsidP="00D82824">
      <w:pPr>
        <w:jc w:val="center"/>
        <w:rPr>
          <w:b/>
        </w:rPr>
      </w:pPr>
    </w:p>
    <w:p w:rsidR="001243D6" w:rsidRDefault="001243D6" w:rsidP="00D82824">
      <w:pPr>
        <w:jc w:val="center"/>
        <w:rPr>
          <w:b/>
        </w:rPr>
      </w:pPr>
    </w:p>
    <w:p w:rsidR="001243D6" w:rsidRDefault="001243D6" w:rsidP="001243D6">
      <w:pPr>
        <w:rPr>
          <w:b/>
        </w:rPr>
      </w:pPr>
    </w:p>
    <w:p w:rsidR="00A443D8" w:rsidRPr="00D82824" w:rsidRDefault="00A443D8" w:rsidP="001243D6">
      <w:pPr>
        <w:jc w:val="center"/>
      </w:pPr>
      <w:r w:rsidRPr="00560C0F">
        <w:rPr>
          <w:b/>
        </w:rPr>
        <w:lastRenderedPageBreak/>
        <w:t>The Impact of Population Ageing on the Labour Market:</w:t>
      </w:r>
    </w:p>
    <w:p w:rsidR="00A443D8" w:rsidRPr="002139D1" w:rsidRDefault="00A443D8" w:rsidP="002139D1">
      <w:pPr>
        <w:jc w:val="center"/>
        <w:rPr>
          <w:b/>
        </w:rPr>
      </w:pPr>
      <w:r w:rsidRPr="00560C0F">
        <w:rPr>
          <w:b/>
        </w:rPr>
        <w:t>Evidence from Overlapping Generations Computable General Equilibrium</w:t>
      </w:r>
      <w:r w:rsidR="002139D1">
        <w:rPr>
          <w:b/>
        </w:rPr>
        <w:t xml:space="preserve"> </w:t>
      </w:r>
      <w:r w:rsidRPr="00560C0F">
        <w:rPr>
          <w:b/>
        </w:rPr>
        <w:t>(OLG-CGE) Model of Scotland</w:t>
      </w:r>
    </w:p>
    <w:p w:rsidR="002139D1" w:rsidRDefault="002139D1" w:rsidP="002139D1">
      <w:pPr>
        <w:rPr>
          <w:b/>
        </w:rPr>
      </w:pPr>
    </w:p>
    <w:p w:rsidR="002139D1" w:rsidRDefault="00D36E1F" w:rsidP="00825180">
      <w:pPr>
        <w:spacing w:line="480" w:lineRule="auto"/>
        <w:rPr>
          <w:b/>
        </w:rPr>
      </w:pPr>
      <w:r>
        <w:rPr>
          <w:b/>
        </w:rPr>
        <w:t>1. Introduction</w:t>
      </w:r>
    </w:p>
    <w:p w:rsidR="002036D6" w:rsidRDefault="00FE764B" w:rsidP="00825180">
      <w:pPr>
        <w:spacing w:line="480" w:lineRule="auto"/>
        <w:ind w:firstLine="720"/>
        <w:jc w:val="both"/>
      </w:pPr>
      <w:r w:rsidRPr="002139D1">
        <w:t>There is considerabl</w:t>
      </w:r>
      <w:r w:rsidR="00FA5F2E">
        <w:t>e</w:t>
      </w:r>
      <w:r w:rsidRPr="002139D1">
        <w:t xml:space="preserve"> interest in the impact of population ageing </w:t>
      </w:r>
      <w:r>
        <w:t>on economic growth</w:t>
      </w:r>
      <w:r w:rsidR="00DE568C">
        <w:t>.</w:t>
      </w:r>
      <w:r w:rsidR="00C73463">
        <w:t xml:space="preserve"> </w:t>
      </w:r>
      <w:r w:rsidR="00204C19" w:rsidRPr="00E53B1F">
        <w:t xml:space="preserve">Population ageing is the shift in the age </w:t>
      </w:r>
      <w:r w:rsidR="00C73463" w:rsidRPr="00E53B1F">
        <w:t xml:space="preserve">distribution </w:t>
      </w:r>
      <w:r w:rsidR="00C73463">
        <w:t>away</w:t>
      </w:r>
      <w:r w:rsidR="00204C19" w:rsidRPr="00E53B1F">
        <w:t xml:space="preserve"> from</w:t>
      </w:r>
      <w:r w:rsidR="00C73463">
        <w:t xml:space="preserve"> younger age groups (e.g.</w:t>
      </w:r>
      <w:r w:rsidR="00FA5F2E">
        <w:t>,</w:t>
      </w:r>
      <w:r w:rsidR="00C73463">
        <w:t xml:space="preserve"> &lt;</w:t>
      </w:r>
      <w:r w:rsidR="00204C19">
        <w:t>20</w:t>
      </w:r>
      <w:r w:rsidR="00DE568C">
        <w:t>) to older age groups (e.g.</w:t>
      </w:r>
      <w:r w:rsidR="00FA5F2E">
        <w:t>,</w:t>
      </w:r>
      <w:r w:rsidR="00C73463">
        <w:t xml:space="preserve"> </w:t>
      </w:r>
      <w:r w:rsidR="00204C19" w:rsidRPr="00E53B1F">
        <w:t>65+)</w:t>
      </w:r>
      <w:r w:rsidR="00204C19">
        <w:t>, which is caused mainly by long-</w:t>
      </w:r>
      <w:r w:rsidR="00EF4594">
        <w:t xml:space="preserve">term </w:t>
      </w:r>
      <w:r w:rsidR="00204C19">
        <w:t>below replacement fertility.</w:t>
      </w:r>
      <w:r w:rsidR="00DE568C">
        <w:t xml:space="preserve"> There are a variety of mechanisms by which population ageing can impact on economic growth and the macro-economy </w:t>
      </w:r>
      <w:r w:rsidR="00EF4594">
        <w:t xml:space="preserve">in </w:t>
      </w:r>
      <w:r w:rsidR="00DE568C">
        <w:t xml:space="preserve">general (see </w:t>
      </w:r>
      <w:r w:rsidR="00DE568C" w:rsidRPr="00BC7DC0">
        <w:rPr>
          <w:color w:val="000000"/>
        </w:rPr>
        <w:t>Borsch-</w:t>
      </w:r>
      <w:proofErr w:type="spellStart"/>
      <w:r w:rsidR="00DE568C" w:rsidRPr="00BC7DC0">
        <w:rPr>
          <w:color w:val="000000"/>
        </w:rPr>
        <w:t>Supan</w:t>
      </w:r>
      <w:proofErr w:type="spellEnd"/>
      <w:r w:rsidR="00DE568C">
        <w:rPr>
          <w:color w:val="000000"/>
        </w:rPr>
        <w:t xml:space="preserve"> </w:t>
      </w:r>
      <w:r w:rsidR="00DE568C" w:rsidRPr="00BC7DC0">
        <w:rPr>
          <w:color w:val="000000"/>
        </w:rPr>
        <w:t>2003</w:t>
      </w:r>
      <w:r w:rsidR="00DE568C">
        <w:rPr>
          <w:color w:val="000000"/>
        </w:rPr>
        <w:t xml:space="preserve">; Weil, </w:t>
      </w:r>
      <w:r w:rsidR="00DE568C" w:rsidRPr="00BC7DC0">
        <w:rPr>
          <w:color w:val="000000"/>
        </w:rPr>
        <w:t>1997)</w:t>
      </w:r>
      <w:r w:rsidR="00DE568C">
        <w:rPr>
          <w:color w:val="000000"/>
        </w:rPr>
        <w:t>.</w:t>
      </w:r>
      <w:r w:rsidR="00DE568C">
        <w:t xml:space="preserve"> </w:t>
      </w:r>
      <w:r w:rsidR="00204C19">
        <w:t>The predominant view is that</w:t>
      </w:r>
      <w:r w:rsidR="00245E06">
        <w:t xml:space="preserve"> an</w:t>
      </w:r>
      <w:r w:rsidR="00204C19">
        <w:t xml:space="preserve"> </w:t>
      </w:r>
      <w:r w:rsidR="00EF4594">
        <w:t xml:space="preserve">ageing population </w:t>
      </w:r>
      <w:r w:rsidR="00204C19">
        <w:t xml:space="preserve">will support lower </w:t>
      </w:r>
      <w:r w:rsidR="00C73463">
        <w:t>economic</w:t>
      </w:r>
      <w:r w:rsidR="00204C19">
        <w:t xml:space="preserve"> growth </w:t>
      </w:r>
      <w:r w:rsidR="00C73463">
        <w:t xml:space="preserve">because the 20-64 </w:t>
      </w:r>
      <w:r w:rsidR="00DE568C">
        <w:t>age group</w:t>
      </w:r>
      <w:r w:rsidR="00EF4594">
        <w:t xml:space="preserve"> gets “squeezed”</w:t>
      </w:r>
      <w:r w:rsidR="00DF3E16">
        <w:t>,</w:t>
      </w:r>
      <w:r w:rsidR="00DE568C">
        <w:t xml:space="preserve"> leading to low (or negative) rates of labour force growth. </w:t>
      </w:r>
      <w:r w:rsidR="00C73463">
        <w:t>In addition</w:t>
      </w:r>
      <w:r w:rsidR="00DE568C">
        <w:t xml:space="preserve">, population ageing causes a shift away from </w:t>
      </w:r>
      <w:r w:rsidR="00C73463">
        <w:t xml:space="preserve">investment to consumption </w:t>
      </w:r>
      <w:r w:rsidR="00DE568C">
        <w:t xml:space="preserve">since government expenditure </w:t>
      </w:r>
      <w:r w:rsidR="00BA691F">
        <w:t>tend</w:t>
      </w:r>
      <w:r w:rsidR="002036D6">
        <w:t>s</w:t>
      </w:r>
      <w:r w:rsidR="00BA691F">
        <w:t xml:space="preserve"> to </w:t>
      </w:r>
      <w:r w:rsidR="00DE568C">
        <w:t>increase to meet the increased demand for</w:t>
      </w:r>
      <w:r w:rsidR="00C73463">
        <w:t xml:space="preserve"> pension</w:t>
      </w:r>
      <w:r w:rsidR="00DE568C">
        <w:t xml:space="preserve">s and other old age-related benefits (such as health care). The populations of many high-income countries are ageing very rapidly, and there is some doubt </w:t>
      </w:r>
      <w:r w:rsidR="002036D6">
        <w:t xml:space="preserve">that </w:t>
      </w:r>
      <w:r w:rsidR="00DE568C">
        <w:t xml:space="preserve">standard of living increases can be </w:t>
      </w:r>
      <w:r w:rsidR="00EE67F6">
        <w:t xml:space="preserve">sustained.  </w:t>
      </w:r>
    </w:p>
    <w:p w:rsidR="00706E55" w:rsidRPr="00706E55" w:rsidRDefault="00345507" w:rsidP="008F12A4">
      <w:pPr>
        <w:spacing w:line="480" w:lineRule="auto"/>
        <w:ind w:firstLine="720"/>
        <w:jc w:val="both"/>
      </w:pPr>
      <w:r>
        <w:t xml:space="preserve">This paper examines the impact </w:t>
      </w:r>
      <w:r w:rsidR="00302785">
        <w:t xml:space="preserve">of </w:t>
      </w:r>
      <w:r>
        <w:t xml:space="preserve">population ageing on </w:t>
      </w:r>
      <w:r w:rsidR="00D31591">
        <w:t>macro-</w:t>
      </w:r>
      <w:r>
        <w:t xml:space="preserve">economic performance using a </w:t>
      </w:r>
      <w:r w:rsidR="00F53366">
        <w:t>computable</w:t>
      </w:r>
      <w:r w:rsidR="00EE67F6" w:rsidRPr="00864C6D">
        <w:t xml:space="preserve"> general equilibrium (CGE) model</w:t>
      </w:r>
      <w:r>
        <w:t xml:space="preserve">. A CGE model </w:t>
      </w:r>
      <w:r w:rsidR="00EE67F6">
        <w:t xml:space="preserve">is </w:t>
      </w:r>
      <w:r w:rsidRPr="00864C6D">
        <w:t xml:space="preserve">mathematical </w:t>
      </w:r>
      <w:r w:rsidR="00F53366" w:rsidRPr="00864C6D">
        <w:t>description of an economy using a system of simu</w:t>
      </w:r>
      <w:r w:rsidR="00F53366">
        <w:t xml:space="preserve">ltaneous equations. </w:t>
      </w:r>
      <w:r w:rsidR="003B1DF5">
        <w:t>As in other general equilibrium models</w:t>
      </w:r>
      <w:r w:rsidR="00D31591">
        <w:t>, it is assumed</w:t>
      </w:r>
      <w:r w:rsidR="00EE67F6" w:rsidRPr="00864C6D">
        <w:t xml:space="preserve"> </w:t>
      </w:r>
      <w:r w:rsidR="00302785">
        <w:t xml:space="preserve">that </w:t>
      </w:r>
      <w:r w:rsidR="00EE67F6" w:rsidRPr="00864C6D">
        <w:t>all the markets, sectors and industries are modelled together wi</w:t>
      </w:r>
      <w:r w:rsidR="00F53366">
        <w:t>th corresponding inter-linkage</w:t>
      </w:r>
      <w:r w:rsidR="00EF4594">
        <w:t>s</w:t>
      </w:r>
      <w:r w:rsidR="00F53366">
        <w:t xml:space="preserve"> (unlike “partial equilibrium” </w:t>
      </w:r>
      <w:r w:rsidR="00825180">
        <w:t>models</w:t>
      </w:r>
      <w:r w:rsidR="00F53366">
        <w:t xml:space="preserve">). </w:t>
      </w:r>
      <w:r w:rsidR="003B1DF5">
        <w:t xml:space="preserve">CGE models tend to be very complex and thus cannot be solved analytically. They are </w:t>
      </w:r>
      <w:r w:rsidR="00D31591">
        <w:t xml:space="preserve">therefore calibrated to </w:t>
      </w:r>
      <w:r w:rsidR="003B1DF5">
        <w:t>“real world” data and rely on solver algorithms that find numerical solution</w:t>
      </w:r>
      <w:r w:rsidR="00D31591">
        <w:t>s</w:t>
      </w:r>
      <w:r w:rsidR="003B1DF5">
        <w:t xml:space="preserve"> satisfying all of the model’s equations. </w:t>
      </w:r>
      <w:r>
        <w:t xml:space="preserve">CGE </w:t>
      </w:r>
      <w:r w:rsidR="002036D6">
        <w:t>models</w:t>
      </w:r>
      <w:r w:rsidR="00DF3E16">
        <w:t xml:space="preserve"> are very flexible</w:t>
      </w:r>
      <w:r w:rsidR="002036D6">
        <w:t xml:space="preserve">, and can </w:t>
      </w:r>
      <w:r>
        <w:t xml:space="preserve">be </w:t>
      </w:r>
      <w:r w:rsidR="00F53366" w:rsidRPr="00864C6D">
        <w:t xml:space="preserve">used to analyse </w:t>
      </w:r>
      <w:r w:rsidR="00DF3E16">
        <w:t xml:space="preserve">the macro-economic effects </w:t>
      </w:r>
      <w:r w:rsidR="00DF3E16">
        <w:lastRenderedPageBreak/>
        <w:t>of variety of economic</w:t>
      </w:r>
      <w:r w:rsidR="00F74BBB">
        <w:t xml:space="preserve"> </w:t>
      </w:r>
      <w:r w:rsidR="00DF3E16">
        <w:t>shocks and</w:t>
      </w:r>
      <w:r w:rsidR="00F74BBB">
        <w:t xml:space="preserve"> policies</w:t>
      </w:r>
      <w:r w:rsidR="00706E55">
        <w:t xml:space="preserve"> (see </w:t>
      </w:r>
      <w:proofErr w:type="spellStart"/>
      <w:r w:rsidR="00706E55">
        <w:t>Burfisher</w:t>
      </w:r>
      <w:proofErr w:type="spellEnd"/>
      <w:r w:rsidR="00706E55">
        <w:t xml:space="preserve">, 2011; </w:t>
      </w:r>
      <w:r w:rsidR="00706E55" w:rsidRPr="00222F49">
        <w:t>Di</w:t>
      </w:r>
      <w:r w:rsidR="00706E55">
        <w:t xml:space="preserve">xon </w:t>
      </w:r>
      <w:r w:rsidR="00706E55" w:rsidRPr="00222F49">
        <w:t xml:space="preserve">and </w:t>
      </w:r>
      <w:r w:rsidR="00706E55">
        <w:t xml:space="preserve">Jorgenson, </w:t>
      </w:r>
      <w:r w:rsidR="00706E55" w:rsidRPr="00222F49">
        <w:t>2012</w:t>
      </w:r>
      <w:r w:rsidR="00706E55">
        <w:t xml:space="preserve">; </w:t>
      </w:r>
      <w:proofErr w:type="spellStart"/>
      <w:r w:rsidR="00706E55" w:rsidRPr="00222F49">
        <w:rPr>
          <w:rStyle w:val="ptbrand5"/>
          <w:bCs/>
        </w:rPr>
        <w:t>Fossati</w:t>
      </w:r>
      <w:proofErr w:type="spellEnd"/>
      <w:r w:rsidR="00706E55">
        <w:rPr>
          <w:rStyle w:val="ptbrand5"/>
          <w:bCs/>
        </w:rPr>
        <w:t xml:space="preserve"> </w:t>
      </w:r>
      <w:r w:rsidR="00706E55" w:rsidRPr="00222F49">
        <w:rPr>
          <w:rStyle w:val="ptbrand5"/>
          <w:bCs/>
        </w:rPr>
        <w:t xml:space="preserve">and </w:t>
      </w:r>
      <w:proofErr w:type="spellStart"/>
      <w:r w:rsidR="00706E55">
        <w:rPr>
          <w:rStyle w:val="ptbrand5"/>
          <w:bCs/>
        </w:rPr>
        <w:t>Wiegard</w:t>
      </w:r>
      <w:proofErr w:type="spellEnd"/>
      <w:r w:rsidR="00706E55" w:rsidRPr="00222F49">
        <w:rPr>
          <w:rStyle w:val="ptbrand5"/>
          <w:bCs/>
        </w:rPr>
        <w:t>,</w:t>
      </w:r>
      <w:r w:rsidR="00706E55" w:rsidRPr="00222F49">
        <w:rPr>
          <w:bCs/>
        </w:rPr>
        <w:t xml:space="preserve"> </w:t>
      </w:r>
      <w:r w:rsidR="00706E55" w:rsidRPr="00222F49">
        <w:rPr>
          <w:rStyle w:val="bindingandrelease"/>
          <w:bCs/>
        </w:rPr>
        <w:t>2001</w:t>
      </w:r>
      <w:r w:rsidR="00706E55">
        <w:rPr>
          <w:rStyle w:val="bindingandrelease"/>
          <w:bCs/>
        </w:rPr>
        <w:t>;</w:t>
      </w:r>
      <w:r w:rsidR="00706E55">
        <w:t xml:space="preserve"> </w:t>
      </w:r>
      <w:proofErr w:type="spellStart"/>
      <w:r w:rsidR="00706E55" w:rsidRPr="00222F49">
        <w:rPr>
          <w:rStyle w:val="ptbrand5"/>
          <w:bCs/>
        </w:rPr>
        <w:t>Hosoe</w:t>
      </w:r>
      <w:proofErr w:type="spellEnd"/>
      <w:r w:rsidR="00706E55" w:rsidRPr="00222F49">
        <w:rPr>
          <w:rStyle w:val="ptbrand5"/>
          <w:bCs/>
        </w:rPr>
        <w:t>,</w:t>
      </w:r>
      <w:r w:rsidR="00706E55">
        <w:rPr>
          <w:rStyle w:val="ptbrand5"/>
          <w:bCs/>
        </w:rPr>
        <w:t xml:space="preserve"> </w:t>
      </w:r>
      <w:proofErr w:type="spellStart"/>
      <w:r w:rsidR="00706E55" w:rsidRPr="00222F49">
        <w:rPr>
          <w:rStyle w:val="ptbrand5"/>
          <w:bCs/>
        </w:rPr>
        <w:t>Gasawa</w:t>
      </w:r>
      <w:proofErr w:type="spellEnd"/>
      <w:r w:rsidR="00706E55" w:rsidRPr="00222F49">
        <w:rPr>
          <w:rStyle w:val="ptbrand5"/>
          <w:bCs/>
        </w:rPr>
        <w:t xml:space="preserve"> and Hashimoto</w:t>
      </w:r>
      <w:r w:rsidR="00EF0B8C">
        <w:rPr>
          <w:rStyle w:val="ptbrand5"/>
          <w:bCs/>
        </w:rPr>
        <w:t>,</w:t>
      </w:r>
      <w:r w:rsidR="00706E55">
        <w:rPr>
          <w:rStyle w:val="ptbrand5"/>
          <w:bCs/>
        </w:rPr>
        <w:t xml:space="preserve"> </w:t>
      </w:r>
      <w:r w:rsidR="00706E55" w:rsidRPr="00222F49">
        <w:rPr>
          <w:rStyle w:val="ptbrand5"/>
          <w:bCs/>
        </w:rPr>
        <w:t>2010)</w:t>
      </w:r>
      <w:r w:rsidR="00706E55">
        <w:rPr>
          <w:rStyle w:val="ptbrand5"/>
          <w:bCs/>
        </w:rPr>
        <w:t>.</w:t>
      </w:r>
    </w:p>
    <w:p w:rsidR="00540D92" w:rsidRDefault="00EE67F6" w:rsidP="00540D92">
      <w:pPr>
        <w:spacing w:line="480" w:lineRule="auto"/>
        <w:ind w:firstLine="720"/>
        <w:jc w:val="both"/>
      </w:pPr>
      <w:r w:rsidRPr="00F74BBB">
        <w:t xml:space="preserve">It is therefore not surprising </w:t>
      </w:r>
      <w:r w:rsidR="00F74BBB" w:rsidRPr="00F74BBB">
        <w:t xml:space="preserve">to find that </w:t>
      </w:r>
      <w:r w:rsidRPr="00F74BBB">
        <w:t xml:space="preserve">CGE models have </w:t>
      </w:r>
      <w:r w:rsidR="00F74BBB" w:rsidRPr="00F74BBB">
        <w:t>been used</w:t>
      </w:r>
      <w:r w:rsidR="00DF3E16" w:rsidRPr="00F74BBB">
        <w:t xml:space="preserve"> to evaluate the </w:t>
      </w:r>
      <w:r w:rsidRPr="00F74BBB">
        <w:t xml:space="preserve">impact of population ageing (see </w:t>
      </w:r>
      <w:proofErr w:type="spellStart"/>
      <w:r w:rsidRPr="00F74BBB">
        <w:t>Bommier</w:t>
      </w:r>
      <w:proofErr w:type="spellEnd"/>
      <w:r w:rsidRPr="00F74BBB">
        <w:t xml:space="preserve"> and Lee, 2003; Borsch-</w:t>
      </w:r>
      <w:proofErr w:type="spellStart"/>
      <w:r w:rsidRPr="00F74BBB">
        <w:t>Supan</w:t>
      </w:r>
      <w:proofErr w:type="spellEnd"/>
      <w:r w:rsidRPr="00F74BBB">
        <w:t xml:space="preserve">, Ludwig and </w:t>
      </w:r>
      <w:proofErr w:type="gramStart"/>
      <w:r w:rsidRPr="00F74BBB">
        <w:t>Winter</w:t>
      </w:r>
      <w:proofErr w:type="gramEnd"/>
      <w:r w:rsidRPr="00F74BBB">
        <w:t xml:space="preserve">, 2006; </w:t>
      </w:r>
      <w:proofErr w:type="spellStart"/>
      <w:r w:rsidRPr="00F74BBB">
        <w:t>Fougère</w:t>
      </w:r>
      <w:proofErr w:type="spellEnd"/>
      <w:r w:rsidRPr="00F74BBB">
        <w:t xml:space="preserve"> and </w:t>
      </w:r>
      <w:proofErr w:type="spellStart"/>
      <w:r w:rsidRPr="00F74BBB">
        <w:t>Mérette</w:t>
      </w:r>
      <w:proofErr w:type="spellEnd"/>
      <w:r w:rsidR="001243D6">
        <w:t xml:space="preserve">, 1999; </w:t>
      </w:r>
      <w:proofErr w:type="spellStart"/>
      <w:r w:rsidR="001243D6">
        <w:t>Fougère</w:t>
      </w:r>
      <w:proofErr w:type="spellEnd"/>
      <w:r w:rsidR="001243D6">
        <w:t xml:space="preserve">, </w:t>
      </w:r>
      <w:proofErr w:type="spellStart"/>
      <w:r w:rsidR="001243D6">
        <w:t>Mercenier</w:t>
      </w:r>
      <w:proofErr w:type="spellEnd"/>
      <w:r w:rsidR="001243D6">
        <w:t xml:space="preserve"> and </w:t>
      </w:r>
      <w:proofErr w:type="spellStart"/>
      <w:r w:rsidR="001243D6">
        <w:t>M</w:t>
      </w:r>
      <w:r w:rsidR="001243D6" w:rsidRPr="00F74BBB">
        <w:t>é</w:t>
      </w:r>
      <w:r w:rsidR="001243D6">
        <w:t>rette</w:t>
      </w:r>
      <w:proofErr w:type="spellEnd"/>
      <w:r w:rsidR="001243D6">
        <w:t xml:space="preserve">, 2007; </w:t>
      </w:r>
      <w:proofErr w:type="spellStart"/>
      <w:r w:rsidR="001243D6">
        <w:t>Fougère</w:t>
      </w:r>
      <w:proofErr w:type="spellEnd"/>
      <w:r w:rsidR="00F62EA9">
        <w:t xml:space="preserve"> et al., 2004). </w:t>
      </w:r>
      <w:r w:rsidR="00DF3E16" w:rsidRPr="00F74BBB">
        <w:t xml:space="preserve">The type of CGE model that is best suited to demographic research </w:t>
      </w:r>
      <w:r w:rsidR="003B1DF5">
        <w:t xml:space="preserve">has an overlapping generations </w:t>
      </w:r>
      <w:r w:rsidR="00DF3E16" w:rsidRPr="00F74BBB">
        <w:t>(OLG)</w:t>
      </w:r>
      <w:r w:rsidR="003B1DF5">
        <w:t xml:space="preserve"> structure</w:t>
      </w:r>
      <w:r w:rsidR="005979F0">
        <w:t xml:space="preserve">, </w:t>
      </w:r>
      <w:r w:rsidR="00D31591">
        <w:t xml:space="preserve">introduced </w:t>
      </w:r>
      <w:r w:rsidR="005979F0">
        <w:t xml:space="preserve">by </w:t>
      </w:r>
      <w:proofErr w:type="spellStart"/>
      <w:r w:rsidR="005979F0">
        <w:t>Auerbach</w:t>
      </w:r>
      <w:proofErr w:type="spellEnd"/>
      <w:r w:rsidR="005979F0">
        <w:t xml:space="preserve"> and </w:t>
      </w:r>
      <w:proofErr w:type="spellStart"/>
      <w:r w:rsidR="005979F0">
        <w:t>Kotlikoff</w:t>
      </w:r>
      <w:proofErr w:type="spellEnd"/>
      <w:r w:rsidR="005979F0">
        <w:t xml:space="preserve"> (1987)</w:t>
      </w:r>
      <w:r w:rsidR="00DF3E16" w:rsidRPr="00F74BBB">
        <w:t>.</w:t>
      </w:r>
      <w:r w:rsidR="003B1DF5">
        <w:t xml:space="preserve"> </w:t>
      </w:r>
      <w:r w:rsidR="005979F0">
        <w:t>An OLG-CGE model is</w:t>
      </w:r>
      <w:r w:rsidR="005979F0" w:rsidRPr="002D41C8">
        <w:t xml:space="preserve"> based on </w:t>
      </w:r>
      <w:r w:rsidR="005979F0">
        <w:t xml:space="preserve">an </w:t>
      </w:r>
      <w:r w:rsidR="005979F0" w:rsidRPr="002D41C8">
        <w:t>infinite time horizon and inter</w:t>
      </w:r>
      <w:r w:rsidR="00D31591">
        <w:t>-</w:t>
      </w:r>
      <w:r w:rsidR="005979F0" w:rsidRPr="002D41C8">
        <w:t>temporal optimi</w:t>
      </w:r>
      <w:r w:rsidR="005979F0">
        <w:t>s</w:t>
      </w:r>
      <w:r w:rsidR="005979F0" w:rsidRPr="002D41C8">
        <w:t>ation</w:t>
      </w:r>
      <w:r w:rsidR="005979F0">
        <w:t xml:space="preserve">. The </w:t>
      </w:r>
      <w:r w:rsidR="005979F0" w:rsidRPr="002D41C8">
        <w:t xml:space="preserve">household sector consists of several generations living alongside each other at any </w:t>
      </w:r>
      <w:r w:rsidR="00D31591">
        <w:t xml:space="preserve">point in </w:t>
      </w:r>
      <w:r w:rsidR="005979F0" w:rsidRPr="002D41C8">
        <w:t xml:space="preserve">time. </w:t>
      </w:r>
      <w:r w:rsidR="005979F0">
        <w:t>In e</w:t>
      </w:r>
      <w:r w:rsidR="005979F0" w:rsidRPr="002D41C8">
        <w:t xml:space="preserve">ach period </w:t>
      </w:r>
      <w:r w:rsidR="005979F0">
        <w:t>the</w:t>
      </w:r>
      <w:r w:rsidR="005979F0" w:rsidRPr="002D41C8">
        <w:t xml:space="preserve"> oldest generation “dies”, </w:t>
      </w:r>
      <w:r w:rsidR="005979F0">
        <w:t>a new</w:t>
      </w:r>
      <w:r w:rsidR="005979F0" w:rsidRPr="002D41C8">
        <w:t xml:space="preserve"> youngest generation is “born” and all the generations in</w:t>
      </w:r>
      <w:r w:rsidR="005979F0">
        <w:t xml:space="preserve">-between become </w:t>
      </w:r>
      <w:r w:rsidR="00D31591">
        <w:t xml:space="preserve">a period </w:t>
      </w:r>
      <w:r w:rsidR="005979F0">
        <w:t>older.</w:t>
      </w:r>
      <w:r w:rsidR="00D9479A">
        <w:t xml:space="preserve"> From</w:t>
      </w:r>
      <w:r w:rsidR="00D31591">
        <w:t xml:space="preserve"> a demographic point of view, an OLG-CGE model </w:t>
      </w:r>
      <w:r w:rsidR="00DF3E16" w:rsidRPr="00F74BBB">
        <w:t>more explicitly allows</w:t>
      </w:r>
      <w:r w:rsidR="00D9479A">
        <w:t xml:space="preserve"> the interaction of age effects. This is a clear advantage</w:t>
      </w:r>
      <w:r w:rsidR="00DF3E16" w:rsidRPr="00F74BBB">
        <w:t xml:space="preserve"> </w:t>
      </w:r>
      <w:r w:rsidR="00D31591">
        <w:t xml:space="preserve">since age is usually a critical variable </w:t>
      </w:r>
      <w:r w:rsidR="006E4D35">
        <w:t>in the</w:t>
      </w:r>
      <w:r w:rsidR="00D31591">
        <w:t xml:space="preserve"> understanding </w:t>
      </w:r>
      <w:r w:rsidR="00D9479A">
        <w:t>of demographic behaviour</w:t>
      </w:r>
      <w:r w:rsidR="00DF3E16" w:rsidRPr="00F74BBB">
        <w:t>.</w:t>
      </w:r>
    </w:p>
    <w:p w:rsidR="00540D92" w:rsidRDefault="00345507" w:rsidP="00540D92">
      <w:pPr>
        <w:spacing w:line="480" w:lineRule="auto"/>
        <w:ind w:firstLine="720"/>
        <w:jc w:val="both"/>
      </w:pPr>
      <w:r>
        <w:t xml:space="preserve">This </w:t>
      </w:r>
      <w:r w:rsidR="00EE67F6" w:rsidRPr="00F74BBB">
        <w:t xml:space="preserve">paper builds on the </w:t>
      </w:r>
      <w:r>
        <w:t xml:space="preserve">recent work of </w:t>
      </w:r>
      <w:r w:rsidR="00EE67F6" w:rsidRPr="00F74BBB">
        <w:t xml:space="preserve">Lisenkova et al. (2010), </w:t>
      </w:r>
      <w:r w:rsidR="00F74BBB" w:rsidRPr="00F74BBB">
        <w:t xml:space="preserve">who used a CGE model of </w:t>
      </w:r>
      <w:r w:rsidR="00EE67F6" w:rsidRPr="00F74BBB">
        <w:t>Scotland</w:t>
      </w:r>
      <w:r w:rsidR="00EF4594">
        <w:t xml:space="preserve"> (AMOS)</w:t>
      </w:r>
      <w:r w:rsidR="00EE67F6" w:rsidRPr="00F74BBB">
        <w:t xml:space="preserve"> to evaluate the impact of population </w:t>
      </w:r>
      <w:r w:rsidR="00D9479A">
        <w:t xml:space="preserve">decline </w:t>
      </w:r>
      <w:r w:rsidR="00EE67F6" w:rsidRPr="00F74BBB">
        <w:t>and labour force decline on output and a series of other key macro</w:t>
      </w:r>
      <w:r>
        <w:t>-</w:t>
      </w:r>
      <w:r w:rsidR="00EE67F6" w:rsidRPr="00F74BBB">
        <w:t>economic variables.</w:t>
      </w:r>
      <w:r w:rsidR="00EE67F6" w:rsidRPr="00F74BBB">
        <w:rPr>
          <w:bCs/>
          <w:lang w:val="sv-SE"/>
        </w:rPr>
        <w:t xml:space="preserve"> </w:t>
      </w:r>
      <w:r w:rsidR="00EE67F6" w:rsidRPr="00F74BBB">
        <w:t>The Scottish context is of particular interest since population decline and labour force decline are not unlikely in the future</w:t>
      </w:r>
      <w:r w:rsidR="00D9479A">
        <w:t xml:space="preserve"> given past demographic trends. This paper </w:t>
      </w:r>
      <w:r w:rsidR="00F74BBB" w:rsidRPr="00F74BBB">
        <w:t>extend</w:t>
      </w:r>
      <w:r w:rsidR="00D9479A">
        <w:t>s</w:t>
      </w:r>
      <w:r w:rsidR="00F74BBB" w:rsidRPr="00F74BBB">
        <w:t xml:space="preserve"> their analysis through </w:t>
      </w:r>
      <w:r w:rsidR="00D9479A">
        <w:t xml:space="preserve">the use of </w:t>
      </w:r>
      <w:r w:rsidR="00F74BBB" w:rsidRPr="00F74BBB">
        <w:t>an OLG-CGE model that is more sensitive to ageing effects</w:t>
      </w:r>
      <w:r w:rsidR="006B5BA4">
        <w:t xml:space="preserve">. More specifically, </w:t>
      </w:r>
      <w:r w:rsidR="00F74BBB" w:rsidRPr="00F74BBB">
        <w:t>two main mechanisms</w:t>
      </w:r>
      <w:r w:rsidR="006B5BA4">
        <w:t xml:space="preserve"> are considered</w:t>
      </w:r>
      <w:r w:rsidR="00F74BBB" w:rsidRPr="00F74BBB">
        <w:t xml:space="preserve">. The first is through the government expenditure constraint. The idea </w:t>
      </w:r>
      <w:r w:rsidR="00EB544A" w:rsidRPr="00F74BBB">
        <w:t xml:space="preserve">being </w:t>
      </w:r>
      <w:r w:rsidR="00EB544A">
        <w:t>that</w:t>
      </w:r>
      <w:r w:rsidR="00EB544A" w:rsidRPr="00F74BBB">
        <w:t xml:space="preserve"> </w:t>
      </w:r>
      <w:r w:rsidR="00EB544A">
        <w:t>population</w:t>
      </w:r>
      <w:r>
        <w:t xml:space="preserve"> </w:t>
      </w:r>
      <w:r w:rsidR="00E149C4">
        <w:t>ageing will</w:t>
      </w:r>
      <w:r>
        <w:t xml:space="preserve"> put</w:t>
      </w:r>
      <w:r w:rsidR="00F74BBB" w:rsidRPr="00F74BBB">
        <w:t xml:space="preserve"> significant upw</w:t>
      </w:r>
      <w:r w:rsidR="00D9479A">
        <w:t>ard pressure on per-capita</w:t>
      </w:r>
      <w:r w:rsidR="00F74BBB" w:rsidRPr="00F74BBB">
        <w:t xml:space="preserve"> government expenditure. The second is through labour force ageing. If workers of different ages are not perfect substitutes, then labour force ageing will </w:t>
      </w:r>
      <w:r w:rsidR="005979F0">
        <w:t xml:space="preserve">have an effect on </w:t>
      </w:r>
      <w:r w:rsidR="00F74BBB" w:rsidRPr="00F74BBB">
        <w:t>per-wor</w:t>
      </w:r>
      <w:r w:rsidR="00EB544A">
        <w:t>ker productivity</w:t>
      </w:r>
      <w:r w:rsidR="00F74BBB" w:rsidRPr="00F74BBB">
        <w:t>.</w:t>
      </w:r>
    </w:p>
    <w:p w:rsidR="00540D92" w:rsidRDefault="00540D92" w:rsidP="00540D92">
      <w:pPr>
        <w:spacing w:line="480" w:lineRule="auto"/>
        <w:ind w:firstLine="720"/>
        <w:jc w:val="both"/>
      </w:pPr>
      <w:r>
        <w:lastRenderedPageBreak/>
        <w:t xml:space="preserve">The model is in the </w:t>
      </w:r>
      <w:proofErr w:type="spellStart"/>
      <w:r>
        <w:t>Auerbach</w:t>
      </w:r>
      <w:proofErr w:type="spellEnd"/>
      <w:r>
        <w:t xml:space="preserve"> and </w:t>
      </w:r>
      <w:proofErr w:type="spellStart"/>
      <w:r>
        <w:t>Kotlikoff</w:t>
      </w:r>
      <w:proofErr w:type="spellEnd"/>
      <w:r>
        <w:t xml:space="preserve"> (1987) tradition and introduces age-specific mortality</w:t>
      </w:r>
      <w:r w:rsidRPr="004962A2">
        <w:t xml:space="preserve"> </w:t>
      </w:r>
      <w:r>
        <w:t>following Borsch-</w:t>
      </w:r>
      <w:proofErr w:type="spellStart"/>
      <w:r>
        <w:t>Supan</w:t>
      </w:r>
      <w:proofErr w:type="spellEnd"/>
      <w:r>
        <w:t xml:space="preserve"> et al. (2006</w:t>
      </w:r>
      <w:r w:rsidRPr="003C232F">
        <w:t>)</w:t>
      </w:r>
      <w:r>
        <w:t xml:space="preserve">. It incorporates </w:t>
      </w:r>
      <w:proofErr w:type="spellStart"/>
      <w:r>
        <w:t>vatiation</w:t>
      </w:r>
      <w:proofErr w:type="spellEnd"/>
      <w:r>
        <w:t xml:space="preserve"> in life expectancy variation with a perfect annuity market, through which unintentional bequests are implicitly distributed. The theoretical description of this approach was first presented in </w:t>
      </w:r>
      <w:proofErr w:type="spellStart"/>
      <w:r>
        <w:t>Yaari</w:t>
      </w:r>
      <w:proofErr w:type="spellEnd"/>
      <w:r>
        <w:t xml:space="preserve"> (1965). This modification allows precise replication of the population structure from the population projections and dramatically improves the accuracy of demographic shocks. </w:t>
      </w:r>
    </w:p>
    <w:p w:rsidR="00302785" w:rsidRDefault="00F53366" w:rsidP="002653D7">
      <w:pPr>
        <w:spacing w:line="480" w:lineRule="auto"/>
        <w:ind w:firstLine="720"/>
        <w:jc w:val="both"/>
      </w:pPr>
      <w:r w:rsidRPr="00E34D8F">
        <w:t>The remainder of this paper is organised as follows</w:t>
      </w:r>
      <w:r w:rsidR="002036D6" w:rsidRPr="00E34D8F">
        <w:t xml:space="preserve">. Section 2 outlines the structure of the model. Section 3 discusses how the model is calibrated and gives the data sources. A series of simulations are carried out in Section 4. Conclusions </w:t>
      </w:r>
      <w:r w:rsidR="00825180" w:rsidRPr="00E34D8F">
        <w:t xml:space="preserve">follow in </w:t>
      </w:r>
      <w:r w:rsidR="002036D6" w:rsidRPr="00E34D8F">
        <w:t>Section 5</w:t>
      </w:r>
      <w:r w:rsidR="00825180" w:rsidRPr="00E34D8F">
        <w:t>.</w:t>
      </w:r>
      <w:r w:rsidR="00EB544A" w:rsidRPr="00E34D8F">
        <w:t xml:space="preserve"> </w:t>
      </w:r>
      <w:r w:rsidR="00491581" w:rsidRPr="00E34D8F">
        <w:t xml:space="preserve"> </w:t>
      </w:r>
      <w:r w:rsidR="002653D7">
        <w:t xml:space="preserve"> </w:t>
      </w:r>
    </w:p>
    <w:p w:rsidR="002653D7" w:rsidRPr="00F74BBB" w:rsidRDefault="002653D7" w:rsidP="002653D7">
      <w:pPr>
        <w:spacing w:line="480" w:lineRule="auto"/>
        <w:ind w:firstLine="720"/>
        <w:jc w:val="both"/>
      </w:pPr>
    </w:p>
    <w:p w:rsidR="008E0637" w:rsidRDefault="008E0637" w:rsidP="00825180">
      <w:pPr>
        <w:spacing w:line="480" w:lineRule="auto"/>
        <w:jc w:val="both"/>
        <w:rPr>
          <w:b/>
        </w:rPr>
      </w:pPr>
      <w:r>
        <w:rPr>
          <w:b/>
        </w:rPr>
        <w:t>2</w:t>
      </w:r>
      <w:r w:rsidRPr="009F5850">
        <w:rPr>
          <w:b/>
        </w:rPr>
        <w:t>. The Model</w:t>
      </w:r>
    </w:p>
    <w:p w:rsidR="00825180" w:rsidRPr="00805DB4" w:rsidRDefault="008E0637" w:rsidP="00805DB4">
      <w:pPr>
        <w:spacing w:line="480" w:lineRule="auto"/>
        <w:ind w:firstLine="720"/>
        <w:jc w:val="both"/>
      </w:pPr>
      <w:r>
        <w:t xml:space="preserve">The OLG model that we have built </w:t>
      </w:r>
      <w:r w:rsidR="00951C0C">
        <w:t xml:space="preserve">should be able </w:t>
      </w:r>
      <w:r>
        <w:t xml:space="preserve">to analyse </w:t>
      </w:r>
      <w:r w:rsidRPr="006C2884">
        <w:t xml:space="preserve">the </w:t>
      </w:r>
      <w:r w:rsidR="006E4D35">
        <w:t xml:space="preserve">Scottish </w:t>
      </w:r>
      <w:r w:rsidRPr="006C2884">
        <w:t xml:space="preserve">long-term economic and labour market implications of ageing in </w:t>
      </w:r>
      <w:r>
        <w:t>a</w:t>
      </w:r>
      <w:r w:rsidRPr="006C2884">
        <w:t xml:space="preserve"> context of </w:t>
      </w:r>
      <w:r>
        <w:t>its tight fiscal relationship with the rest of UK</w:t>
      </w:r>
      <w:r w:rsidR="006B5BA4">
        <w:t xml:space="preserve">. It is therefore </w:t>
      </w:r>
      <w:r w:rsidRPr="005B42B7">
        <w:t xml:space="preserve">composed of </w:t>
      </w:r>
      <w:r>
        <w:t>two</w:t>
      </w:r>
      <w:r w:rsidRPr="005B42B7">
        <w:t xml:space="preserve"> regions: </w:t>
      </w:r>
      <w:r w:rsidR="006B5BA4">
        <w:t xml:space="preserve">(1) </w:t>
      </w:r>
      <w:r>
        <w:t xml:space="preserve">Scotland and the </w:t>
      </w:r>
      <w:r w:rsidR="006B5BA4">
        <w:t>(2) rest-of-the-</w:t>
      </w:r>
      <w:r>
        <w:t>UK (RUK). Sc</w:t>
      </w:r>
      <w:r w:rsidR="00C84CFD">
        <w:t xml:space="preserve">otland is a </w:t>
      </w:r>
      <w:r>
        <w:t xml:space="preserve">small open economy and is specified with </w:t>
      </w:r>
      <w:r w:rsidR="00C84CFD">
        <w:t xml:space="preserve">detail </w:t>
      </w:r>
      <w:r>
        <w:t>in the numerical model</w:t>
      </w:r>
      <w:r w:rsidR="00C84CFD">
        <w:t xml:space="preserve">. The </w:t>
      </w:r>
      <w:r>
        <w:t xml:space="preserve">RUK is </w:t>
      </w:r>
      <w:r w:rsidR="00951C0C">
        <w:t xml:space="preserve">not explicitly modelled and </w:t>
      </w:r>
      <w:r>
        <w:t xml:space="preserve">present to close the government budget and </w:t>
      </w:r>
      <w:r w:rsidR="00C84CFD">
        <w:t xml:space="preserve">close </w:t>
      </w:r>
      <w:r>
        <w:t>the current account of Scotland. In the following we describe some aspects of the production, household</w:t>
      </w:r>
      <w:r w:rsidR="00951C0C">
        <w:t xml:space="preserve"> and</w:t>
      </w:r>
      <w:r>
        <w:t xml:space="preserve"> government sector</w:t>
      </w:r>
      <w:r w:rsidR="00951C0C">
        <w:t>s</w:t>
      </w:r>
      <w:r>
        <w:t>, the PAYG pensions systems, and the trade</w:t>
      </w:r>
      <w:r w:rsidR="00951C0C">
        <w:t xml:space="preserve"> and transfers</w:t>
      </w:r>
      <w:r>
        <w:t xml:space="preserve"> between the two regions. We also describe the demographic process which is superimposed on the OLG model and which provides the exogenous shock or driving force behind the simulations results. A more technical description of th</w:t>
      </w:r>
      <w:r w:rsidR="004652F7">
        <w:t>is type of</w:t>
      </w:r>
      <w:r>
        <w:t xml:space="preserve"> model and calibration is given in </w:t>
      </w:r>
      <w:proofErr w:type="spellStart"/>
      <w:r>
        <w:t>M</w:t>
      </w:r>
      <w:r w:rsidRPr="00A85192">
        <w:rPr>
          <w:sz w:val="22"/>
          <w:szCs w:val="22"/>
        </w:rPr>
        <w:t>é</w:t>
      </w:r>
      <w:r>
        <w:t>rette</w:t>
      </w:r>
      <w:proofErr w:type="spellEnd"/>
      <w:r>
        <w:t xml:space="preserve"> </w:t>
      </w:r>
      <w:r w:rsidR="002B352D">
        <w:t xml:space="preserve">and George </w:t>
      </w:r>
      <w:r>
        <w:t>(20</w:t>
      </w:r>
      <w:r w:rsidR="002B352D">
        <w:t>10</w:t>
      </w:r>
      <w:r>
        <w:t>).</w:t>
      </w:r>
      <w:r w:rsidRPr="005B42B7">
        <w:t xml:space="preserve"> </w:t>
      </w:r>
    </w:p>
    <w:p w:rsidR="008E0637" w:rsidRPr="00F74BBB" w:rsidRDefault="008E0637" w:rsidP="00825180">
      <w:pPr>
        <w:spacing w:line="480" w:lineRule="auto"/>
        <w:jc w:val="both"/>
        <w:rPr>
          <w:b/>
        </w:rPr>
      </w:pPr>
      <w:r w:rsidRPr="00F74BBB">
        <w:rPr>
          <w:b/>
        </w:rPr>
        <w:lastRenderedPageBreak/>
        <w:t>2.</w:t>
      </w:r>
      <w:r w:rsidR="00F74BBB">
        <w:rPr>
          <w:b/>
        </w:rPr>
        <w:t>1 The Production S</w:t>
      </w:r>
      <w:r w:rsidRPr="00F74BBB">
        <w:rPr>
          <w:b/>
        </w:rPr>
        <w:t>ector</w:t>
      </w:r>
    </w:p>
    <w:p w:rsidR="00C84CFD" w:rsidRDefault="008E0637" w:rsidP="00C84CFD">
      <w:pPr>
        <w:spacing w:line="480" w:lineRule="auto"/>
        <w:ind w:firstLine="720"/>
        <w:jc w:val="both"/>
      </w:pPr>
      <w:r>
        <w:t xml:space="preserve">In each region </w:t>
      </w:r>
      <w:r>
        <w:rPr>
          <w:i/>
          <w:iCs/>
        </w:rPr>
        <w:t>j</w:t>
      </w:r>
      <w:r>
        <w:t xml:space="preserve">, a representative firm produces at time </w:t>
      </w:r>
      <w:r w:rsidRPr="00651EDC">
        <w:rPr>
          <w:i/>
        </w:rPr>
        <w:t>t</w:t>
      </w:r>
      <w:r>
        <w:t xml:space="preserve"> a single good using a Cobb-Douglas technology. The firm hires labour and rents physical capital. Both factors are region specific. With </w:t>
      </w:r>
      <w:r w:rsidRPr="00A52501">
        <w:rPr>
          <w:position w:val="-4"/>
        </w:rPr>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3.5pt" o:ole="">
            <v:imagedata r:id="rId8" o:title=""/>
          </v:shape>
          <o:OLEObject Type="Embed" ProgID="Equation.DSMT4" ShapeID="_x0000_i1025" DrawAspect="Content" ObjectID="_1408263039" r:id="rId9"/>
        </w:object>
      </w:r>
      <w:r>
        <w:t xml:space="preserve"> representing output, </w:t>
      </w:r>
      <w:r w:rsidRPr="00A52501">
        <w:rPr>
          <w:position w:val="-4"/>
        </w:rPr>
        <w:object w:dxaOrig="260" w:dyaOrig="260">
          <v:shape id="_x0000_i1026" type="#_x0000_t75" style="width:13.5pt;height:13.5pt" o:ole="">
            <v:imagedata r:id="rId10" o:title=""/>
          </v:shape>
          <o:OLEObject Type="Embed" ProgID="Equation.DSMT4" ShapeID="_x0000_i1026" DrawAspect="Content" ObjectID="_1408263040" r:id="rId11"/>
        </w:object>
      </w:r>
      <w:r>
        <w:t xml:space="preserve"> physical capital, </w:t>
      </w:r>
      <w:r w:rsidRPr="00A52501">
        <w:rPr>
          <w:position w:val="-4"/>
        </w:rPr>
        <w:object w:dxaOrig="220" w:dyaOrig="260">
          <v:shape id="_x0000_i1027" type="#_x0000_t75" style="width:10.5pt;height:13.5pt" o:ole="">
            <v:imagedata r:id="rId12" o:title=""/>
          </v:shape>
          <o:OLEObject Type="Embed" ProgID="Equation.DSMT4" ShapeID="_x0000_i1027" DrawAspect="Content" ObjectID="_1408263041" r:id="rId13"/>
        </w:object>
      </w:r>
      <w:r>
        <w:t xml:space="preserve"> effective units of labour, </w:t>
      </w:r>
      <w:proofErr w:type="gramStart"/>
      <w:r w:rsidRPr="007140E1">
        <w:rPr>
          <w:i/>
        </w:rPr>
        <w:t>A</w:t>
      </w:r>
      <w:proofErr w:type="gramEnd"/>
      <w:r>
        <w:t xml:space="preserve"> </w:t>
      </w:r>
      <w:proofErr w:type="spellStart"/>
      <w:r>
        <w:t>a</w:t>
      </w:r>
      <w:proofErr w:type="spellEnd"/>
      <w:r>
        <w:t xml:space="preserve"> scaling factor and </w:t>
      </w:r>
      <w:r w:rsidRPr="007140E1">
        <w:rPr>
          <w:i/>
        </w:rPr>
        <w:sym w:font="Symbol" w:char="F061"/>
      </w:r>
      <w:r>
        <w:t xml:space="preserve"> the share of physical capital in value added, a region specific production function is: </w:t>
      </w:r>
    </w:p>
    <w:p w:rsidR="00C84CFD" w:rsidRDefault="008E0637" w:rsidP="00C84CFD">
      <w:pPr>
        <w:spacing w:line="480" w:lineRule="auto"/>
        <w:ind w:firstLine="720"/>
        <w:jc w:val="both"/>
        <w:rPr>
          <w:position w:val="-14"/>
        </w:rPr>
      </w:pPr>
      <w:r>
        <w:t>(1)</w:t>
      </w:r>
      <w:r>
        <w:tab/>
      </w:r>
      <w:r>
        <w:tab/>
      </w:r>
      <w:r>
        <w:tab/>
      </w:r>
      <w:r>
        <w:tab/>
      </w:r>
      <w:r w:rsidR="009B41EB" w:rsidRPr="007140E1">
        <w:rPr>
          <w:position w:val="-14"/>
        </w:rPr>
        <w:object w:dxaOrig="1719" w:dyaOrig="420">
          <v:shape id="_x0000_i1052" type="#_x0000_t75" style="width:86.25pt;height:21pt" o:ole="" fillcolor="window">
            <v:imagedata r:id="rId14" o:title=""/>
          </v:shape>
          <o:OLEObject Type="Embed" ProgID="Equation.3" ShapeID="_x0000_i1052" DrawAspect="Content" ObjectID="_1408263042" r:id="rId15"/>
        </w:object>
      </w:r>
    </w:p>
    <w:p w:rsidR="008E0637" w:rsidRDefault="008E0637" w:rsidP="00C84CFD">
      <w:pPr>
        <w:spacing w:line="480" w:lineRule="auto"/>
        <w:jc w:val="both"/>
      </w:pPr>
      <w:r>
        <w:t>Firms are assumed to be perfectly competitive and factor demands follow from profit maximization:</w:t>
      </w:r>
    </w:p>
    <w:p w:rsidR="008E0637" w:rsidRDefault="008E0637" w:rsidP="00825180">
      <w:pPr>
        <w:spacing w:line="480" w:lineRule="auto"/>
        <w:jc w:val="both"/>
      </w:pPr>
      <w:r>
        <w:t>(2)</w:t>
      </w:r>
      <w:r>
        <w:tab/>
      </w:r>
      <w:r>
        <w:tab/>
      </w:r>
      <w:r>
        <w:tab/>
      </w:r>
      <w:r>
        <w:tab/>
      </w:r>
      <w:r w:rsidR="009B41EB" w:rsidRPr="00A52501">
        <w:rPr>
          <w:position w:val="-34"/>
        </w:rPr>
        <w:object w:dxaOrig="2260" w:dyaOrig="859">
          <v:shape id="_x0000_i1053" type="#_x0000_t75" style="width:113.25pt;height:42.75pt" o:ole="" fillcolor="window">
            <v:imagedata r:id="rId16" o:title=""/>
          </v:shape>
          <o:OLEObject Type="Embed" ProgID="Equation.3" ShapeID="_x0000_i1053" DrawAspect="Content" ObjectID="_1408263043" r:id="rId17"/>
        </w:object>
      </w:r>
      <w:r>
        <w:t xml:space="preserve"> </w:t>
      </w:r>
    </w:p>
    <w:p w:rsidR="008E0637" w:rsidRDefault="008E0637" w:rsidP="00825180">
      <w:pPr>
        <w:spacing w:line="480" w:lineRule="auto"/>
        <w:jc w:val="both"/>
      </w:pPr>
      <w:r>
        <w:t>(3)</w:t>
      </w:r>
      <w:r>
        <w:tab/>
      </w:r>
      <w:r>
        <w:tab/>
      </w:r>
      <w:r>
        <w:tab/>
      </w:r>
      <w:r>
        <w:tab/>
      </w:r>
      <w:r w:rsidR="009B41EB" w:rsidRPr="00A52501">
        <w:rPr>
          <w:position w:val="-34"/>
        </w:rPr>
        <w:object w:dxaOrig="2560" w:dyaOrig="859">
          <v:shape id="_x0000_i1054" type="#_x0000_t75" style="width:128.25pt;height:42.75pt" o:ole="" fillcolor="window">
            <v:imagedata r:id="rId18" o:title=""/>
          </v:shape>
          <o:OLEObject Type="Embed" ProgID="Equation.3" ShapeID="_x0000_i1054" DrawAspect="Content" ObjectID="_1408263044" r:id="rId19"/>
        </w:object>
      </w:r>
    </w:p>
    <w:p w:rsidR="008E0637" w:rsidRDefault="008E0637" w:rsidP="00825180">
      <w:pPr>
        <w:spacing w:line="480" w:lineRule="auto"/>
        <w:jc w:val="both"/>
      </w:pPr>
      <w:proofErr w:type="gramStart"/>
      <w:r>
        <w:t>where</w:t>
      </w:r>
      <w:proofErr w:type="gramEnd"/>
      <w:r>
        <w:t xml:space="preserve"> </w:t>
      </w:r>
      <w:r w:rsidRPr="00A52501">
        <w:rPr>
          <w:position w:val="-6"/>
        </w:rPr>
        <w:object w:dxaOrig="279" w:dyaOrig="220">
          <v:shape id="_x0000_i1028" type="#_x0000_t75" style="width:14.25pt;height:10.5pt" o:ole="">
            <v:imagedata r:id="rId20" o:title=""/>
          </v:shape>
          <o:OLEObject Type="Embed" ProgID="Equation.DSMT4" ShapeID="_x0000_i1028" DrawAspect="Content" ObjectID="_1408263045" r:id="rId21"/>
        </w:object>
      </w:r>
      <w:r>
        <w:t xml:space="preserve"> and </w:t>
      </w:r>
      <w:r w:rsidRPr="00A52501">
        <w:rPr>
          <w:position w:val="-6"/>
        </w:rPr>
        <w:object w:dxaOrig="240" w:dyaOrig="220">
          <v:shape id="_x0000_i1029" type="#_x0000_t75" style="width:12pt;height:10.5pt" o:ole="">
            <v:imagedata r:id="rId22" o:title=""/>
          </v:shape>
          <o:OLEObject Type="Embed" ProgID="Equation.DSMT4" ShapeID="_x0000_i1029" DrawAspect="Content" ObjectID="_1408263046" r:id="rId23"/>
        </w:object>
      </w:r>
      <w:r>
        <w:t xml:space="preserve"> are the rental rates of capital and wages, and </w:t>
      </w:r>
      <w:r w:rsidRPr="00A52501">
        <w:rPr>
          <w:position w:val="-4"/>
        </w:rPr>
        <w:object w:dxaOrig="240" w:dyaOrig="260">
          <v:shape id="_x0000_i1030" type="#_x0000_t75" style="width:12pt;height:13.5pt" o:ole="">
            <v:imagedata r:id="rId24" o:title=""/>
          </v:shape>
          <o:OLEObject Type="Embed" ProgID="Equation.DSMT4" ShapeID="_x0000_i1030" DrawAspect="Content" ObjectID="_1408263047" r:id="rId25"/>
        </w:object>
      </w:r>
      <w:r>
        <w:t xml:space="preserve"> is the output price. </w:t>
      </w:r>
    </w:p>
    <w:p w:rsidR="008E0637" w:rsidRDefault="008E0637" w:rsidP="00825180">
      <w:pPr>
        <w:spacing w:line="480" w:lineRule="auto"/>
        <w:jc w:val="both"/>
      </w:pPr>
      <w:r>
        <w:rPr>
          <w:rFonts w:ascii="TimesNewRomanPSMT" w:hAnsi="TimesNewRomanPSMT" w:cs="TimesNewRomanPSMT"/>
          <w:color w:val="000000"/>
        </w:rPr>
        <w:t xml:space="preserve">Labour is distinguished by four skill levels, high-skilled, medium-skilled and low-skilled workers, plus non-working individuals denoted by the binary index of skills </w:t>
      </w:r>
      <w:r>
        <w:rPr>
          <w:rFonts w:ascii="TimesNewRomanPS-ItalicMT" w:hAnsi="TimesNewRomanPS-ItalicMT" w:cs="TimesNewRomanPS-ItalicMT"/>
          <w:i/>
          <w:iCs/>
          <w:color w:val="000000"/>
        </w:rPr>
        <w:t>qual</w:t>
      </w:r>
      <w:r>
        <w:rPr>
          <w:rFonts w:ascii="TimesNewRomanPS-ItalicMT" w:hAnsi="TimesNewRomanPS-ItalicMT" w:cs="TimesNewRomanPS-ItalicMT"/>
          <w:iCs/>
          <w:color w:val="000000"/>
        </w:rPr>
        <w:t xml:space="preserve">. Therefore, </w:t>
      </w:r>
      <w:r>
        <w:t xml:space="preserve">firms also disaggregate their demand for labour </w:t>
      </w:r>
      <w:proofErr w:type="spellStart"/>
      <w:r w:rsidRPr="00433FF1">
        <w:rPr>
          <w:i/>
        </w:rPr>
        <w:t>L</w:t>
      </w:r>
      <w:r w:rsidRPr="00433FF1">
        <w:rPr>
          <w:i/>
          <w:vertAlign w:val="subscript"/>
        </w:rPr>
        <w:t>j</w:t>
      </w:r>
      <w:proofErr w:type="gramStart"/>
      <w:r w:rsidRPr="00433FF1">
        <w:rPr>
          <w:i/>
          <w:vertAlign w:val="subscript"/>
        </w:rPr>
        <w:t>,t</w:t>
      </w:r>
      <w:proofErr w:type="spellEnd"/>
      <w:proofErr w:type="gramEnd"/>
      <w:r>
        <w:t xml:space="preserve"> into a demand for skills based on a constant-elasticity-of-substitution (CES) function:</w:t>
      </w:r>
    </w:p>
    <w:p w:rsidR="008E0637" w:rsidRDefault="008E0637" w:rsidP="00825180">
      <w:pPr>
        <w:spacing w:line="480" w:lineRule="auto"/>
        <w:jc w:val="both"/>
      </w:pPr>
      <w:r>
        <w:t xml:space="preserve">(4) </w:t>
      </w:r>
      <w:r>
        <w:tab/>
      </w:r>
      <w:r>
        <w:tab/>
      </w:r>
      <w:r>
        <w:tab/>
      </w:r>
      <w:r w:rsidR="00951C0C">
        <w:tab/>
      </w:r>
      <w:r w:rsidRPr="00A80AB9">
        <w:rPr>
          <w:position w:val="-34"/>
        </w:rPr>
        <w:object w:dxaOrig="2980" w:dyaOrig="880">
          <v:shape id="_x0000_i1031" type="#_x0000_t75" style="width:149.25pt;height:43.5pt" o:ole="">
            <v:imagedata r:id="rId26" o:title=""/>
          </v:shape>
          <o:OLEObject Type="Embed" ProgID="Equation.3" ShapeID="_x0000_i1031" DrawAspect="Content" ObjectID="_1408263048" r:id="rId27"/>
        </w:object>
      </w:r>
    </w:p>
    <w:p w:rsidR="008E0637" w:rsidRPr="005B42B7" w:rsidRDefault="008E0637" w:rsidP="00825180">
      <w:pPr>
        <w:spacing w:line="480" w:lineRule="auto"/>
        <w:jc w:val="both"/>
      </w:pPr>
      <w:proofErr w:type="gramStart"/>
      <w:r w:rsidRPr="005B42B7">
        <w:t>where</w:t>
      </w:r>
      <w:proofErr w:type="gramEnd"/>
      <w:r w:rsidRPr="005B42B7">
        <w:t xml:space="preserve"> </w:t>
      </w:r>
      <w:proofErr w:type="spellStart"/>
      <w:r w:rsidRPr="005B42B7">
        <w:rPr>
          <w:i/>
        </w:rPr>
        <w:t>w</w:t>
      </w:r>
      <w:r w:rsidRPr="005B42B7">
        <w:rPr>
          <w:i/>
          <w:vertAlign w:val="subscript"/>
        </w:rPr>
        <w:t>qual</w:t>
      </w:r>
      <w:proofErr w:type="spellEnd"/>
      <w:r w:rsidRPr="005B42B7">
        <w:t xml:space="preserve"> is the </w:t>
      </w:r>
      <w:r>
        <w:t>wage rate for a specific type of skills</w:t>
      </w:r>
      <w:r w:rsidRPr="005B42B7">
        <w:t xml:space="preserve">, and </w:t>
      </w:r>
      <w:r w:rsidRPr="005B42B7">
        <w:rPr>
          <w:position w:val="-10"/>
        </w:rPr>
        <w:object w:dxaOrig="200" w:dyaOrig="260">
          <v:shape id="_x0000_i1032" type="#_x0000_t75" style="width:10.5pt;height:13.5pt" o:ole="">
            <v:imagedata r:id="rId28" o:title=""/>
          </v:shape>
          <o:OLEObject Type="Embed" ProgID="Equation.DSMT4" ShapeID="_x0000_i1032" DrawAspect="Content" ObjectID="_1408263049" r:id="rId29"/>
        </w:object>
      </w:r>
      <w:r w:rsidRPr="005B42B7">
        <w:t>and</w:t>
      </w:r>
      <w:r w:rsidRPr="005B42B7">
        <w:rPr>
          <w:position w:val="-12"/>
        </w:rPr>
        <w:object w:dxaOrig="340" w:dyaOrig="380">
          <v:shape id="_x0000_i1033" type="#_x0000_t75" style="width:17.25pt;height:18.75pt" o:ole="">
            <v:imagedata r:id="rId30" o:title=""/>
          </v:shape>
          <o:OLEObject Type="Embed" ProgID="Equation.DSMT4" ShapeID="_x0000_i1033" DrawAspect="Content" ObjectID="_1408263050" r:id="rId31"/>
        </w:object>
      </w:r>
      <w:r w:rsidRPr="005B42B7">
        <w:t xml:space="preserve"> are respectively share of skill levels and substitution-elasticity parameters. It follows from optimization that the </w:t>
      </w:r>
      <w:r w:rsidRPr="005B42B7">
        <w:rPr>
          <w:i/>
        </w:rPr>
        <w:t>composite</w:t>
      </w:r>
      <w:r w:rsidRPr="005B42B7">
        <w:t xml:space="preserve"> wage rate </w:t>
      </w:r>
      <w:r w:rsidRPr="005B42B7">
        <w:rPr>
          <w:position w:val="-6"/>
        </w:rPr>
        <w:object w:dxaOrig="240" w:dyaOrig="220">
          <v:shape id="_x0000_i1034" type="#_x0000_t75" style="width:12pt;height:10.5pt" o:ole="">
            <v:imagedata r:id="rId32" o:title=""/>
          </v:shape>
          <o:OLEObject Type="Embed" ProgID="Equation.DSMT4" ShapeID="_x0000_i1034" DrawAspect="Content" ObjectID="_1408263051" r:id="rId33"/>
        </w:object>
      </w:r>
      <w:r w:rsidRPr="005B42B7">
        <w:t xml:space="preserve"> of the firm’s aggregate labour input is related to market wages </w:t>
      </w:r>
      <w:proofErr w:type="spellStart"/>
      <w:r w:rsidRPr="005B42B7">
        <w:rPr>
          <w:i/>
        </w:rPr>
        <w:t>w</w:t>
      </w:r>
      <w:r w:rsidRPr="005B42B7">
        <w:rPr>
          <w:i/>
          <w:vertAlign w:val="subscript"/>
        </w:rPr>
        <w:t>qual</w:t>
      </w:r>
      <w:proofErr w:type="spellEnd"/>
      <w:r w:rsidRPr="005B42B7">
        <w:t xml:space="preserve"> by the following expression:</w:t>
      </w:r>
    </w:p>
    <w:p w:rsidR="009B41EB" w:rsidRDefault="008E0637" w:rsidP="009B41EB">
      <w:pPr>
        <w:spacing w:line="480" w:lineRule="auto"/>
        <w:jc w:val="both"/>
        <w:rPr>
          <w:position w:val="-30"/>
          <w:sz w:val="22"/>
        </w:rPr>
      </w:pPr>
      <w:r w:rsidRPr="00C84CFD">
        <w:rPr>
          <w:sz w:val="22"/>
        </w:rPr>
        <w:lastRenderedPageBreak/>
        <w:t xml:space="preserve">(5) </w:t>
      </w:r>
      <w:r w:rsidRPr="00C84CFD">
        <w:rPr>
          <w:sz w:val="22"/>
        </w:rPr>
        <w:tab/>
      </w:r>
      <w:r w:rsidRPr="00C84CFD">
        <w:rPr>
          <w:sz w:val="22"/>
        </w:rPr>
        <w:tab/>
      </w:r>
      <w:r w:rsidRPr="00C84CFD">
        <w:rPr>
          <w:sz w:val="22"/>
        </w:rPr>
        <w:tab/>
      </w:r>
      <w:r w:rsidRPr="00C84CFD">
        <w:rPr>
          <w:sz w:val="22"/>
        </w:rPr>
        <w:tab/>
      </w:r>
      <w:r w:rsidR="009B41EB" w:rsidRPr="009B41EB">
        <w:rPr>
          <w:position w:val="-32"/>
          <w:sz w:val="22"/>
        </w:rPr>
        <w:object w:dxaOrig="2520" w:dyaOrig="660">
          <v:shape id="_x0000_i1056" type="#_x0000_t75" style="width:126pt;height:33pt" o:ole="">
            <v:imagedata r:id="rId34" o:title=""/>
          </v:shape>
          <o:OLEObject Type="Embed" ProgID="Equation.3" ShapeID="_x0000_i1056" DrawAspect="Content" ObjectID="_1408263052" r:id="rId35"/>
        </w:object>
      </w:r>
    </w:p>
    <w:p w:rsidR="009B41EB" w:rsidRDefault="009B41EB" w:rsidP="009B41EB">
      <w:pPr>
        <w:spacing w:line="480" w:lineRule="auto"/>
        <w:jc w:val="both"/>
        <w:rPr>
          <w:position w:val="-30"/>
          <w:sz w:val="22"/>
        </w:rPr>
      </w:pPr>
    </w:p>
    <w:p w:rsidR="009B41EB" w:rsidRDefault="008E0637" w:rsidP="009B41EB">
      <w:pPr>
        <w:spacing w:line="480" w:lineRule="auto"/>
        <w:jc w:val="both"/>
        <w:rPr>
          <w:b/>
        </w:rPr>
      </w:pPr>
      <w:r w:rsidRPr="00F74BBB">
        <w:rPr>
          <w:b/>
        </w:rPr>
        <w:t>2.2 Household Behaviour</w:t>
      </w:r>
    </w:p>
    <w:p w:rsidR="008E0637" w:rsidRDefault="008E0637" w:rsidP="009B41EB">
      <w:pPr>
        <w:spacing w:line="480" w:lineRule="auto"/>
        <w:ind w:firstLine="709"/>
        <w:jc w:val="both"/>
      </w:pPr>
      <w:r>
        <w:t xml:space="preserve">Scotland is represented by 21 representative households in an Allais-Samuelson overlapping generations structure. Individuals enter the labour market at the age of </w:t>
      </w:r>
      <w:r w:rsidR="009D3BFC">
        <w:t>20</w:t>
      </w:r>
      <w:r>
        <w:t>, retire (</w:t>
      </w:r>
      <w:r w:rsidR="009D3BFC">
        <w:t>o</w:t>
      </w:r>
      <w:r>
        <w:t xml:space="preserve">n average) at </w:t>
      </w:r>
      <w:r w:rsidR="00302785">
        <w:t xml:space="preserve">the </w:t>
      </w:r>
      <w:r>
        <w:t xml:space="preserve">age </w:t>
      </w:r>
      <w:r w:rsidR="00302785">
        <w:t xml:space="preserve">of </w:t>
      </w:r>
      <w:r>
        <w:t>65</w:t>
      </w:r>
      <w:r w:rsidR="006E4D35">
        <w:t>,</w:t>
      </w:r>
      <w:r>
        <w:t xml:space="preserve"> and die at the latest at </w:t>
      </w:r>
      <w:r w:rsidR="006B5BA4">
        <w:t xml:space="preserve">age </w:t>
      </w:r>
      <w:r>
        <w:t>10</w:t>
      </w:r>
      <w:r w:rsidR="009D3BFC">
        <w:t>4</w:t>
      </w:r>
      <w:r>
        <w:t>. We classify generations into twenty-one age groups {</w:t>
      </w:r>
      <w:r w:rsidRPr="00896B08">
        <w:rPr>
          <w:i/>
        </w:rPr>
        <w:t>g</w:t>
      </w:r>
      <w:r>
        <w:t xml:space="preserve">, </w:t>
      </w:r>
      <w:r w:rsidRPr="00896B08">
        <w:rPr>
          <w:i/>
        </w:rPr>
        <w:t>g</w:t>
      </w:r>
      <w:r>
        <w:t xml:space="preserve">+1, </w:t>
      </w:r>
      <w:r w:rsidRPr="00896B08">
        <w:rPr>
          <w:i/>
        </w:rPr>
        <w:t>g</w:t>
      </w:r>
      <w:r>
        <w:t>+2</w:t>
      </w:r>
      <w:proofErr w:type="gramStart"/>
      <w:r>
        <w:t>,…,</w:t>
      </w:r>
      <w:proofErr w:type="gramEnd"/>
      <w:r>
        <w:t xml:space="preserve"> </w:t>
      </w:r>
      <w:r w:rsidRPr="00896B08">
        <w:rPr>
          <w:i/>
        </w:rPr>
        <w:t>g</w:t>
      </w:r>
      <w:r>
        <w:t>+20} (</w:t>
      </w:r>
      <w:r w:rsidRPr="006E4D35">
        <w:t>i.e.,</w:t>
      </w:r>
      <w:r>
        <w:t xml:space="preserve"> 0-</w:t>
      </w:r>
      <w:r w:rsidR="009D3BFC">
        <w:t>4</w:t>
      </w:r>
      <w:r>
        <w:t xml:space="preserve">, </w:t>
      </w:r>
      <w:r w:rsidR="009D3BFC">
        <w:t>5</w:t>
      </w:r>
      <w:r>
        <w:t>-</w:t>
      </w:r>
      <w:r w:rsidR="009D3BFC">
        <w:t>9</w:t>
      </w:r>
      <w:r>
        <w:t>, 1</w:t>
      </w:r>
      <w:r w:rsidR="009D3BFC">
        <w:t>0</w:t>
      </w:r>
      <w:r>
        <w:t>-1</w:t>
      </w:r>
      <w:r w:rsidR="009D3BFC">
        <w:t>4</w:t>
      </w:r>
      <w:r>
        <w:t>, 1</w:t>
      </w:r>
      <w:r w:rsidR="009D3BFC">
        <w:t>5</w:t>
      </w:r>
      <w:r>
        <w:t>-</w:t>
      </w:r>
      <w:r w:rsidR="009D3BFC">
        <w:t>19</w:t>
      </w:r>
      <w:r>
        <w:t>, …100-10</w:t>
      </w:r>
      <w:r w:rsidR="009D3BFC">
        <w:t>4</w:t>
      </w:r>
      <w:r>
        <w:t xml:space="preserve"> age groups). Younger </w:t>
      </w:r>
      <w:r w:rsidR="000562AB">
        <w:t xml:space="preserve">generations </w:t>
      </w:r>
      <w:r>
        <w:t>(</w:t>
      </w:r>
      <w:r w:rsidRPr="006E4D35">
        <w:t>i.e.,</w:t>
      </w:r>
      <w:r>
        <w:t xml:space="preserve"> 0-</w:t>
      </w:r>
      <w:r w:rsidR="009D3BFC">
        <w:t>4</w:t>
      </w:r>
      <w:r>
        <w:t xml:space="preserve">, </w:t>
      </w:r>
      <w:r w:rsidR="009D3BFC">
        <w:t>5</w:t>
      </w:r>
      <w:r>
        <w:t>-</w:t>
      </w:r>
      <w:r w:rsidR="009D3BFC">
        <w:t>9</w:t>
      </w:r>
      <w:r>
        <w:t>, 1</w:t>
      </w:r>
      <w:r w:rsidR="009D3BFC">
        <w:t>0</w:t>
      </w:r>
      <w:r>
        <w:t>-1</w:t>
      </w:r>
      <w:r w:rsidR="009D3BFC">
        <w:t>4</w:t>
      </w:r>
      <w:r>
        <w:t>, 1</w:t>
      </w:r>
      <w:r w:rsidR="009D3BFC">
        <w:t>5</w:t>
      </w:r>
      <w:r>
        <w:t>-</w:t>
      </w:r>
      <w:r w:rsidR="009D3BFC">
        <w:t>19</w:t>
      </w:r>
      <w:r>
        <w:t>) are fully dependent on their parents and play no active role in the model</w:t>
      </w:r>
      <w:r w:rsidR="00302785">
        <w:t>, but they influence the age dependent components of public expenditure (health and education)</w:t>
      </w:r>
      <w:r>
        <w:t xml:space="preserve">.  An exogenous </w:t>
      </w:r>
      <w:r w:rsidR="00C84CFD">
        <w:t xml:space="preserve">age and </w:t>
      </w:r>
      <w:r w:rsidR="000562AB">
        <w:t>time</w:t>
      </w:r>
      <w:r w:rsidR="00EF0B8C">
        <w:t>-</w:t>
      </w:r>
      <w:r w:rsidR="00951C0C">
        <w:t xml:space="preserve">variable </w:t>
      </w:r>
      <w:r>
        <w:t>survival rate determines life expectancy.</w:t>
      </w:r>
    </w:p>
    <w:p w:rsidR="008E0637" w:rsidRDefault="008E0637" w:rsidP="00825180">
      <w:pPr>
        <w:spacing w:line="480" w:lineRule="auto"/>
        <w:ind w:firstLine="720"/>
        <w:jc w:val="both"/>
      </w:pPr>
      <w:r>
        <w:t xml:space="preserve">A household’s optimization problem consists of choosing a profile of consumption over the life cycle, in order to maximize a CES type inter-temporal utility function of consumption, subject to discounted lifetime income. Inter-temporal preferences of an individual born at time </w:t>
      </w:r>
      <w:r>
        <w:rPr>
          <w:i/>
          <w:iCs/>
        </w:rPr>
        <w:t>t</w:t>
      </w:r>
      <w:r>
        <w:t xml:space="preserve"> are as follows:</w:t>
      </w:r>
    </w:p>
    <w:p w:rsidR="008E0637" w:rsidRDefault="008E0637" w:rsidP="00825180">
      <w:pPr>
        <w:spacing w:line="480" w:lineRule="auto"/>
        <w:jc w:val="both"/>
      </w:pPr>
      <w:r>
        <w:t>(6)</w:t>
      </w:r>
      <w:r>
        <w:tab/>
      </w:r>
      <w:r>
        <w:tab/>
      </w:r>
      <w:r>
        <w:tab/>
      </w:r>
      <w:r w:rsidR="009B41EB" w:rsidRPr="009B41EB">
        <w:rPr>
          <w:position w:val="-42"/>
        </w:rPr>
        <w:object w:dxaOrig="5520" w:dyaOrig="960">
          <v:shape id="_x0000_i1055" type="#_x0000_t75" style="width:276.75pt;height:48.75pt" o:ole="">
            <v:imagedata r:id="rId36" o:title=""/>
          </v:shape>
          <o:OLEObject Type="Embed" ProgID="Equation.3" ShapeID="_x0000_i1055" DrawAspect="Content" ObjectID="_1408263053" r:id="rId37"/>
        </w:object>
      </w:r>
    </w:p>
    <w:p w:rsidR="008E0637" w:rsidRPr="006E4D35" w:rsidRDefault="008E0637" w:rsidP="00825180">
      <w:pPr>
        <w:spacing w:line="480" w:lineRule="auto"/>
        <w:jc w:val="both"/>
        <w:rPr>
          <w:i/>
          <w:vertAlign w:val="subscript"/>
        </w:rPr>
      </w:pPr>
      <w:proofErr w:type="gramStart"/>
      <w:r>
        <w:t>with</w:t>
      </w:r>
      <w:proofErr w:type="gramEnd"/>
      <w:r>
        <w:t xml:space="preserve"> 0 &lt; </w:t>
      </w:r>
      <w:r>
        <w:rPr>
          <w:i/>
        </w:rPr>
        <w:t xml:space="preserve">θ </w:t>
      </w:r>
      <w:r>
        <w:t>&lt; 1</w:t>
      </w:r>
      <w:r>
        <w:rPr>
          <w:iCs/>
        </w:rPr>
        <w:t xml:space="preserve">. </w:t>
      </w:r>
      <w:r w:rsidRPr="005375B2">
        <w:rPr>
          <w:i/>
        </w:rPr>
        <w:t>C</w:t>
      </w:r>
      <w:r>
        <w:t xml:space="preserve"> denotes consumption; </w:t>
      </w:r>
      <w:r w:rsidRPr="00A52501">
        <w:rPr>
          <w:position w:val="-10"/>
        </w:rPr>
        <w:object w:dxaOrig="240" w:dyaOrig="260">
          <v:shape id="_x0000_i1035" type="#_x0000_t75" style="width:12pt;height:13.5pt" o:ole="">
            <v:imagedata r:id="rId38" o:title=""/>
          </v:shape>
          <o:OLEObject Type="Embed" ProgID="Equation.DSMT4" ShapeID="_x0000_i1035" DrawAspect="Content" ObjectID="_1408263054" r:id="rId39"/>
        </w:object>
      </w:r>
      <w:r>
        <w:t xml:space="preserve"> is the pure rate of time preference and </w:t>
      </w:r>
      <w:r>
        <w:rPr>
          <w:i/>
        </w:rPr>
        <w:t>θ</w:t>
      </w:r>
      <w:r>
        <w:t xml:space="preserve"> is the inverse of the constant inter-temporal elasticity of substitution. </w:t>
      </w:r>
      <w:r w:rsidR="000562AB">
        <w:t xml:space="preserve">The future consumption is discounted by </w:t>
      </w:r>
      <w:r w:rsidR="00302785">
        <w:t xml:space="preserve">the </w:t>
      </w:r>
      <w:r w:rsidR="000562AB">
        <w:t xml:space="preserve">probability of survival </w:t>
      </w:r>
      <w:r w:rsidR="00855B09">
        <w:t xml:space="preserve">up </w:t>
      </w:r>
      <w:r w:rsidR="000562AB">
        <w:t xml:space="preserve">to </w:t>
      </w:r>
      <w:r w:rsidR="003B62AC">
        <w:t xml:space="preserve">the </w:t>
      </w:r>
      <w:r w:rsidR="000562AB">
        <w:t xml:space="preserve">age </w:t>
      </w:r>
      <w:proofErr w:type="spellStart"/>
      <w:r w:rsidR="00302785">
        <w:rPr>
          <w:i/>
        </w:rPr>
        <w:t>g</w:t>
      </w:r>
      <w:r w:rsidR="004038A9">
        <w:rPr>
          <w:i/>
        </w:rPr>
        <w:t>+k</w:t>
      </w:r>
      <w:proofErr w:type="spellEnd"/>
      <w:r w:rsidR="004038A9">
        <w:rPr>
          <w:i/>
        </w:rPr>
        <w:t xml:space="preserve"> </w:t>
      </w:r>
      <w:r w:rsidR="000562AB">
        <w:rPr>
          <w:i/>
        </w:rPr>
        <w:t xml:space="preserve"> </w:t>
      </w:r>
      <w:r w:rsidR="00855B09">
        <w:t xml:space="preserve">represented by the term </w:t>
      </w:r>
      <w:r w:rsidR="006E4D35" w:rsidRPr="00855B09">
        <w:rPr>
          <w:position w:val="-14"/>
        </w:rPr>
        <w:object w:dxaOrig="1040" w:dyaOrig="400">
          <v:shape id="_x0000_i1036" type="#_x0000_t75" style="width:52.5pt;height:19.5pt" o:ole="">
            <v:imagedata r:id="rId40" o:title=""/>
          </v:shape>
          <o:OLEObject Type="Embed" ProgID="Equation.3" ShapeID="_x0000_i1036" DrawAspect="Content" ObjectID="_1408263055" r:id="rId41"/>
        </w:object>
      </w:r>
      <w:r w:rsidR="00855B09">
        <w:t xml:space="preserve">, where </w:t>
      </w:r>
      <w:proofErr w:type="spellStart"/>
      <w:r w:rsidR="00855B09" w:rsidRPr="00855B09">
        <w:rPr>
          <w:i/>
        </w:rPr>
        <w:t>s</w:t>
      </w:r>
      <w:r w:rsidR="00855B09">
        <w:rPr>
          <w:i/>
        </w:rPr>
        <w:t>r</w:t>
      </w:r>
      <w:r w:rsidR="00855B09" w:rsidRPr="00855B09">
        <w:rPr>
          <w:i/>
          <w:vertAlign w:val="subscript"/>
        </w:rPr>
        <w:t>t+k,g+k</w:t>
      </w:r>
      <w:proofErr w:type="spellEnd"/>
      <w:r w:rsidR="00855B09">
        <w:rPr>
          <w:i/>
          <w:vertAlign w:val="subscript"/>
        </w:rPr>
        <w:t xml:space="preserve"> </w:t>
      </w:r>
      <w:r w:rsidR="00855B09" w:rsidRPr="006E4D35">
        <w:t xml:space="preserve">is </w:t>
      </w:r>
      <w:r w:rsidR="004038A9">
        <w:t xml:space="preserve">an age and </w:t>
      </w:r>
      <w:r w:rsidR="00855B09">
        <w:t>time</w:t>
      </w:r>
      <w:r w:rsidR="004038A9">
        <w:t xml:space="preserve"> </w:t>
      </w:r>
      <w:r w:rsidR="003B62AC">
        <w:t>variable</w:t>
      </w:r>
      <w:r w:rsidR="00855B09">
        <w:t xml:space="preserve"> survival rate</w:t>
      </w:r>
      <w:r w:rsidR="00302785">
        <w:t xml:space="preserve"> between periods </w:t>
      </w:r>
      <w:proofErr w:type="spellStart"/>
      <w:r w:rsidR="00302785" w:rsidRPr="007D76C9">
        <w:rPr>
          <w:i/>
        </w:rPr>
        <w:t>t+k</w:t>
      </w:r>
      <w:proofErr w:type="spellEnd"/>
      <w:r w:rsidR="00302785">
        <w:t xml:space="preserve"> and </w:t>
      </w:r>
      <w:r w:rsidR="00302785" w:rsidRPr="007D76C9">
        <w:rPr>
          <w:i/>
        </w:rPr>
        <w:t>t+k+1</w:t>
      </w:r>
      <w:r w:rsidR="00302785">
        <w:t xml:space="preserve"> and ages </w:t>
      </w:r>
      <w:proofErr w:type="spellStart"/>
      <w:r w:rsidR="00302785" w:rsidRPr="007D76C9">
        <w:rPr>
          <w:i/>
        </w:rPr>
        <w:t>g+k</w:t>
      </w:r>
      <w:proofErr w:type="spellEnd"/>
      <w:r w:rsidR="00302785">
        <w:t xml:space="preserve"> and </w:t>
      </w:r>
      <w:r w:rsidR="00302785" w:rsidRPr="007D76C9">
        <w:rPr>
          <w:i/>
        </w:rPr>
        <w:t>g+k+1</w:t>
      </w:r>
      <w:r w:rsidR="00855B09">
        <w:t xml:space="preserve">. </w:t>
      </w:r>
      <w:r w:rsidR="00302785">
        <w:t>The household is not altruist, that is, it does not leave bequest</w:t>
      </w:r>
      <w:r w:rsidR="00302785" w:rsidRPr="00225857">
        <w:t>s</w:t>
      </w:r>
      <w:r w:rsidR="00302785" w:rsidRPr="002669DB">
        <w:rPr>
          <w:color w:val="0000FF"/>
        </w:rPr>
        <w:t xml:space="preserve"> </w:t>
      </w:r>
      <w:r w:rsidR="00302785">
        <w:t xml:space="preserve">to its children in this simple framework. </w:t>
      </w:r>
      <w:r>
        <w:t xml:space="preserve">Each period in the model effectively corresponds to 5 years and a unit increment in </w:t>
      </w:r>
      <w:r>
        <w:lastRenderedPageBreak/>
        <w:t xml:space="preserve">the index </w:t>
      </w:r>
      <w:r w:rsidRPr="00117CFB">
        <w:rPr>
          <w:i/>
        </w:rPr>
        <w:t>k</w:t>
      </w:r>
      <w:r>
        <w:t xml:space="preserve"> represents both the next period</w:t>
      </w:r>
      <w:r w:rsidR="00302785">
        <w:t xml:space="preserve"> </w:t>
      </w:r>
      <w:r w:rsidR="00302785" w:rsidRPr="007D76C9">
        <w:rPr>
          <w:i/>
        </w:rPr>
        <w:t>(</w:t>
      </w:r>
      <w:proofErr w:type="spellStart"/>
      <w:r w:rsidR="00302785" w:rsidRPr="007D76C9">
        <w:rPr>
          <w:i/>
        </w:rPr>
        <w:t>t+k</w:t>
      </w:r>
      <w:proofErr w:type="spellEnd"/>
      <w:r w:rsidR="00302785" w:rsidRPr="007D76C9">
        <w:rPr>
          <w:i/>
        </w:rPr>
        <w:t>)</w:t>
      </w:r>
      <w:r>
        <w:t xml:space="preserve"> and, for this individual, a shift to the next age group (</w:t>
      </w:r>
      <w:proofErr w:type="spellStart"/>
      <w:r w:rsidRPr="00117CFB">
        <w:rPr>
          <w:i/>
        </w:rPr>
        <w:t>g+k</w:t>
      </w:r>
      <w:proofErr w:type="spellEnd"/>
      <w:r>
        <w:t xml:space="preserve">). </w:t>
      </w:r>
    </w:p>
    <w:p w:rsidR="00CA7A8A" w:rsidRDefault="008E0637" w:rsidP="00273A69">
      <w:pPr>
        <w:spacing w:line="480" w:lineRule="auto"/>
        <w:ind w:firstLine="720"/>
        <w:jc w:val="both"/>
      </w:pPr>
      <w:r>
        <w:t xml:space="preserve">Assuming no borrowing constraints and perfect capital markets, the present value of household wealth is the discounted sum of labour income received at each period of time, </w:t>
      </w:r>
      <w:r w:rsidRPr="002E7B89">
        <w:rPr>
          <w:position w:val="-14"/>
        </w:rPr>
        <w:object w:dxaOrig="1120" w:dyaOrig="400">
          <v:shape id="_x0000_i1037" type="#_x0000_t75" style="width:54.75pt;height:19.5pt" o:ole="">
            <v:imagedata r:id="rId42" o:title=""/>
          </v:shape>
          <o:OLEObject Type="Embed" ProgID="Equation.3" ShapeID="_x0000_i1037" DrawAspect="Content" ObjectID="_1408263056" r:id="rId43"/>
        </w:object>
      </w:r>
      <w:r>
        <w:t xml:space="preserve">, over lifetime, </w:t>
      </w:r>
      <w:r w:rsidR="00302785">
        <w:t xml:space="preserve">taking </w:t>
      </w:r>
      <w:r>
        <w:t xml:space="preserve">into consideration the survival </w:t>
      </w:r>
      <w:r w:rsidR="004038A9">
        <w:t>rate</w:t>
      </w:r>
      <w:r w:rsidR="00CA7A8A">
        <w:t xml:space="preserve"> </w:t>
      </w:r>
      <w:r w:rsidR="00273A69" w:rsidRPr="00855B09">
        <w:rPr>
          <w:position w:val="-14"/>
        </w:rPr>
        <w:object w:dxaOrig="1040" w:dyaOrig="400">
          <v:shape id="_x0000_i1038" type="#_x0000_t75" style="width:52.5pt;height:19.5pt" o:ole="">
            <v:imagedata r:id="rId40" o:title=""/>
          </v:shape>
          <o:OLEObject Type="Embed" ProgID="Equation.3" ShapeID="_x0000_i1038" DrawAspect="Content" ObjectID="_1408263057" r:id="rId44"/>
        </w:object>
      </w:r>
      <w:r w:rsidR="00CA7A8A">
        <w:t>:</w:t>
      </w:r>
    </w:p>
    <w:p w:rsidR="009B41EB" w:rsidRDefault="008E0637" w:rsidP="00825180">
      <w:pPr>
        <w:spacing w:line="480" w:lineRule="auto"/>
        <w:jc w:val="both"/>
      </w:pPr>
      <w:r>
        <w:t>(7)</w:t>
      </w:r>
    </w:p>
    <w:p w:rsidR="008E0637" w:rsidRDefault="009B41EB" w:rsidP="00825180">
      <w:pPr>
        <w:spacing w:line="480" w:lineRule="auto"/>
        <w:jc w:val="both"/>
        <w:rPr>
          <w:rFonts w:ascii="TimesNewRomanPSMT" w:hAnsi="TimesNewRomanPSMT" w:cs="TimesNewRomanPSMT"/>
          <w:color w:val="000000"/>
        </w:rPr>
      </w:pPr>
      <w:r w:rsidRPr="009B41EB">
        <w:rPr>
          <w:position w:val="-42"/>
        </w:rPr>
        <w:object w:dxaOrig="8240" w:dyaOrig="960">
          <v:shape id="_x0000_i1057" type="#_x0000_t75" style="width:381.75pt;height:44.25pt" o:ole="">
            <v:imagedata r:id="rId45" o:title=""/>
          </v:shape>
          <o:OLEObject Type="Embed" ProgID="Equation.3" ShapeID="_x0000_i1057" DrawAspect="Content" ObjectID="_1408263058" r:id="rId46"/>
        </w:object>
      </w:r>
    </w:p>
    <w:p w:rsidR="008E0637" w:rsidRPr="002B4197" w:rsidRDefault="008E0637" w:rsidP="00825180">
      <w:pPr>
        <w:spacing w:line="480" w:lineRule="auto"/>
        <w:jc w:val="both"/>
        <w:rPr>
          <w:rFonts w:ascii="TimesNewRomanPS-BoldMT" w:hAnsi="TimesNewRomanPS-BoldMT" w:cs="TimesNewRomanPS-BoldMT"/>
          <w:bCs/>
          <w:color w:val="000000"/>
        </w:rPr>
      </w:pPr>
      <w:proofErr w:type="gramStart"/>
      <w:r w:rsidRPr="002B4197">
        <w:rPr>
          <w:rFonts w:ascii="TimesNewRomanPS-BoldMT" w:hAnsi="TimesNewRomanPS-BoldMT" w:cs="TimesNewRomanPS-BoldMT"/>
          <w:bCs/>
          <w:color w:val="000000"/>
        </w:rPr>
        <w:t>where</w:t>
      </w:r>
      <w:proofErr w:type="gramEnd"/>
      <w:r w:rsidRPr="002B4197">
        <w:rPr>
          <w:rFonts w:ascii="TimesNewRomanPS-BoldMT" w:hAnsi="TimesNewRomanPS-BoldMT" w:cs="TimesNewRomanPS-BoldMT"/>
          <w:bCs/>
          <w:color w:val="000000"/>
        </w:rPr>
        <w:t xml:space="preserve"> </w:t>
      </w:r>
      <w:proofErr w:type="spellStart"/>
      <w:r w:rsidRPr="002B4197">
        <w:rPr>
          <w:rFonts w:ascii="TimesNewRomanPS-BoldMT" w:hAnsi="TimesNewRomanPS-BoldMT" w:cs="TimesNewRomanPS-BoldMT"/>
          <w:bCs/>
          <w:i/>
          <w:color w:val="000000"/>
        </w:rPr>
        <w:t>Ri</w:t>
      </w:r>
      <w:proofErr w:type="spellEnd"/>
      <w:r w:rsidRPr="002B4197">
        <w:rPr>
          <w:rFonts w:ascii="TimesNewRomanPS-BoldMT" w:hAnsi="TimesNewRomanPS-BoldMT" w:cs="TimesNewRomanPS-BoldMT"/>
          <w:bCs/>
          <w:color w:val="000000"/>
        </w:rPr>
        <w:t xml:space="preserve"> is </w:t>
      </w:r>
      <w:r>
        <w:t>the rate of return on physical assets</w:t>
      </w:r>
      <w:r>
        <w:rPr>
          <w:rFonts w:ascii="TimesNewRomanPS-BoldMT" w:hAnsi="TimesNewRomanPS-BoldMT" w:cs="TimesNewRomanPS-BoldMT"/>
          <w:bCs/>
          <w:color w:val="000000"/>
        </w:rPr>
        <w:t xml:space="preserve"> (defined later on in equation (1</w:t>
      </w:r>
      <w:r w:rsidR="00302785">
        <w:rPr>
          <w:rFonts w:ascii="TimesNewRomanPS-BoldMT" w:hAnsi="TimesNewRomanPS-BoldMT" w:cs="TimesNewRomanPS-BoldMT"/>
          <w:bCs/>
          <w:color w:val="000000"/>
        </w:rPr>
        <w:t>2</w:t>
      </w:r>
      <w:r>
        <w:rPr>
          <w:rFonts w:ascii="TimesNewRomanPS-BoldMT" w:hAnsi="TimesNewRomanPS-BoldMT" w:cs="TimesNewRomanPS-BoldMT"/>
          <w:bCs/>
          <w:color w:val="000000"/>
        </w:rPr>
        <w:t>) with respect to the rental price of capital)</w:t>
      </w:r>
      <w:r w:rsidRPr="002B4197">
        <w:rPr>
          <w:rFonts w:ascii="TimesNewRomanPS-BoldMT" w:hAnsi="TimesNewRomanPS-BoldMT" w:cs="TimesNewRomanPS-BoldMT"/>
          <w:bCs/>
          <w:color w:val="000000"/>
        </w:rPr>
        <w:t xml:space="preserve">, </w:t>
      </w:r>
      <w:proofErr w:type="spellStart"/>
      <w:r w:rsidRPr="00AB54FF">
        <w:rPr>
          <w:rFonts w:ascii="TimesNewRomanPS-BoldMT" w:hAnsi="TimesNewRomanPS-BoldMT" w:cs="TimesNewRomanPS-BoldMT"/>
          <w:bCs/>
          <w:i/>
          <w:color w:val="000000"/>
        </w:rPr>
        <w:t>τ</w:t>
      </w:r>
      <w:r w:rsidRPr="00AB54FF">
        <w:rPr>
          <w:rFonts w:ascii="TimesNewRomanPS-BoldMT" w:hAnsi="TimesNewRomanPS-BoldMT" w:cs="TimesNewRomanPS-BoldMT"/>
          <w:bCs/>
          <w:i/>
          <w:color w:val="000000"/>
          <w:vertAlign w:val="superscript"/>
        </w:rPr>
        <w:t>K</w:t>
      </w:r>
      <w:proofErr w:type="spellEnd"/>
      <w:r w:rsidRPr="002B4197">
        <w:rPr>
          <w:rFonts w:ascii="TimesNewRomanPS-BoldMT" w:hAnsi="TimesNewRomanPS-BoldMT" w:cs="TimesNewRomanPS-BoldMT"/>
          <w:bCs/>
          <w:color w:val="000000"/>
        </w:rPr>
        <w:t xml:space="preserve"> the effective tax rate on capital, </w:t>
      </w:r>
      <w:proofErr w:type="spellStart"/>
      <w:r w:rsidRPr="00AB54FF">
        <w:rPr>
          <w:rFonts w:ascii="TimesNewRomanPS-BoldMT" w:hAnsi="TimesNewRomanPS-BoldMT" w:cs="TimesNewRomanPS-BoldMT"/>
          <w:bCs/>
          <w:i/>
          <w:color w:val="000000"/>
        </w:rPr>
        <w:t>τ</w:t>
      </w:r>
      <w:r w:rsidRPr="00AB54FF">
        <w:rPr>
          <w:rFonts w:ascii="TimesNewRomanPS-BoldMT" w:hAnsi="TimesNewRomanPS-BoldMT" w:cs="TimesNewRomanPS-BoldMT"/>
          <w:bCs/>
          <w:i/>
          <w:color w:val="000000"/>
          <w:vertAlign w:val="superscript"/>
        </w:rPr>
        <w:t>L</w:t>
      </w:r>
      <w:proofErr w:type="spellEnd"/>
      <w:r w:rsidRPr="002B4197">
        <w:rPr>
          <w:rFonts w:ascii="TimesNewRomanPS-BoldMT" w:hAnsi="TimesNewRomanPS-BoldMT" w:cs="TimesNewRomanPS-BoldMT"/>
          <w:bCs/>
          <w:color w:val="000000"/>
          <w:vertAlign w:val="superscript"/>
        </w:rPr>
        <w:t xml:space="preserve"> </w:t>
      </w:r>
      <w:r w:rsidRPr="002B4197">
        <w:rPr>
          <w:rFonts w:ascii="TimesNewRomanPS-BoldMT" w:hAnsi="TimesNewRomanPS-BoldMT" w:cs="TimesNewRomanPS-BoldMT"/>
          <w:bCs/>
          <w:color w:val="000000"/>
        </w:rPr>
        <w:t>the effective tax rate on labour,</w:t>
      </w:r>
      <w:r>
        <w:rPr>
          <w:rFonts w:ascii="TimesNewRomanPS-BoldMT" w:hAnsi="TimesNewRomanPS-BoldMT" w:cs="TimesNewRomanPS-BoldMT"/>
          <w:bCs/>
          <w:color w:val="000000"/>
        </w:rPr>
        <w:t xml:space="preserve"> and</w:t>
      </w:r>
      <w:r w:rsidRPr="002B4197">
        <w:rPr>
          <w:rFonts w:ascii="TimesNewRomanPS-BoldMT" w:hAnsi="TimesNewRomanPS-BoldMT" w:cs="TimesNewRomanPS-BoldMT"/>
          <w:bCs/>
          <w:color w:val="000000"/>
        </w:rPr>
        <w:t xml:space="preserve"> </w:t>
      </w:r>
      <w:proofErr w:type="spellStart"/>
      <w:r w:rsidRPr="002B4197">
        <w:rPr>
          <w:rFonts w:ascii="TimesNewRomanPS-BoldMT" w:hAnsi="TimesNewRomanPS-BoldMT" w:cs="TimesNewRomanPS-BoldMT"/>
          <w:bCs/>
          <w:i/>
          <w:color w:val="000000"/>
        </w:rPr>
        <w:t>Ctr</w:t>
      </w:r>
      <w:proofErr w:type="spellEnd"/>
      <w:r w:rsidRPr="002B4197">
        <w:rPr>
          <w:rFonts w:ascii="TimesNewRomanPS-BoldMT" w:hAnsi="TimesNewRomanPS-BoldMT" w:cs="TimesNewRomanPS-BoldMT"/>
          <w:bCs/>
          <w:color w:val="000000"/>
        </w:rPr>
        <w:t xml:space="preserve"> the contribution </w:t>
      </w:r>
      <w:r w:rsidRPr="005B42B7">
        <w:rPr>
          <w:rFonts w:ascii="TimesNewRomanPS-BoldMT" w:hAnsi="TimesNewRomanPS-BoldMT" w:cs="TimesNewRomanPS-BoldMT"/>
          <w:bCs/>
        </w:rPr>
        <w:t>to</w:t>
      </w:r>
      <w:r>
        <w:rPr>
          <w:rFonts w:ascii="TimesNewRomanPS-BoldMT" w:hAnsi="TimesNewRomanPS-BoldMT" w:cs="TimesNewRomanPS-BoldMT"/>
          <w:bCs/>
          <w:color w:val="000000"/>
        </w:rPr>
        <w:t xml:space="preserve"> </w:t>
      </w:r>
      <w:r w:rsidRPr="002B4197">
        <w:rPr>
          <w:rFonts w:ascii="TimesNewRomanPS-BoldMT" w:hAnsi="TimesNewRomanPS-BoldMT" w:cs="TimesNewRomanPS-BoldMT"/>
          <w:bCs/>
          <w:color w:val="000000"/>
        </w:rPr>
        <w:t>the public pension system.</w:t>
      </w:r>
      <w:r>
        <w:rPr>
          <w:rFonts w:ascii="TimesNewRomanPS-BoldMT" w:hAnsi="TimesNewRomanPS-BoldMT" w:cs="TimesNewRomanPS-BoldMT"/>
          <w:bCs/>
          <w:color w:val="000000"/>
        </w:rPr>
        <w:t xml:space="preserve">  </w:t>
      </w:r>
      <w:r w:rsidRPr="002B4197">
        <w:rPr>
          <w:rFonts w:ascii="TimesNewRomanPS-BoldMT" w:hAnsi="TimesNewRomanPS-BoldMT" w:cs="TimesNewRomanPS-BoldMT"/>
          <w:bCs/>
          <w:color w:val="000000"/>
        </w:rPr>
        <w:t>Labour income is defined as:</w:t>
      </w:r>
    </w:p>
    <w:p w:rsidR="008E0637" w:rsidRDefault="008E0637" w:rsidP="00825180">
      <w:pPr>
        <w:spacing w:line="480" w:lineRule="auto"/>
        <w:jc w:val="both"/>
      </w:pPr>
      <w:r>
        <w:t>(8)</w:t>
      </w:r>
      <w:r>
        <w:tab/>
      </w:r>
      <w:r>
        <w:tab/>
      </w:r>
      <w:r>
        <w:tab/>
      </w:r>
      <w:r>
        <w:tab/>
      </w:r>
      <w:r w:rsidRPr="002E7B89">
        <w:rPr>
          <w:position w:val="-14"/>
        </w:rPr>
        <w:object w:dxaOrig="3220" w:dyaOrig="400">
          <v:shape id="_x0000_i1039" type="#_x0000_t75" style="width:161.25pt;height:19.5pt" o:ole="">
            <v:imagedata r:id="rId47" o:title=""/>
          </v:shape>
          <o:OLEObject Type="Embed" ProgID="Equation.3" ShapeID="_x0000_i1039" DrawAspect="Content" ObjectID="_1408263059" r:id="rId48"/>
        </w:object>
      </w:r>
    </w:p>
    <w:p w:rsidR="008D7F87" w:rsidRDefault="008E0637" w:rsidP="00825180">
      <w:pPr>
        <w:spacing w:line="480" w:lineRule="auto"/>
        <w:jc w:val="both"/>
        <w:rPr>
          <w:rFonts w:ascii="TimesNewRomanPS-BoldMT" w:hAnsi="TimesNewRomanPS-BoldMT" w:cs="TimesNewRomanPS-BoldMT"/>
          <w:bCs/>
          <w:color w:val="000000"/>
        </w:rPr>
      </w:pPr>
      <w:proofErr w:type="gramStart"/>
      <w:r w:rsidRPr="002B4197">
        <w:rPr>
          <w:rFonts w:ascii="TimesNewRomanPS-BoldMT" w:hAnsi="TimesNewRomanPS-BoldMT" w:cs="TimesNewRomanPS-BoldMT"/>
          <w:bCs/>
          <w:color w:val="000000"/>
        </w:rPr>
        <w:t>where</w:t>
      </w:r>
      <w:proofErr w:type="gramEnd"/>
      <w:r w:rsidRPr="002B4197">
        <w:rPr>
          <w:rFonts w:ascii="TimesNewRomanPS-BoldMT" w:hAnsi="TimesNewRomanPS-BoldMT" w:cs="TimesNewRomanPS-BoldMT"/>
          <w:bCs/>
          <w:color w:val="000000"/>
        </w:rPr>
        <w:t xml:space="preserve"> </w:t>
      </w:r>
      <w:proofErr w:type="spellStart"/>
      <w:r w:rsidRPr="004F0C3D">
        <w:rPr>
          <w:rFonts w:ascii="TimesNewRomanPS-BoldMT" w:hAnsi="TimesNewRomanPS-BoldMT" w:cs="TimesNewRomanPS-BoldMT"/>
          <w:bCs/>
          <w:i/>
          <w:color w:val="000000"/>
        </w:rPr>
        <w:t>L</w:t>
      </w:r>
      <w:r>
        <w:rPr>
          <w:rFonts w:ascii="TimesNewRomanPS-BoldMT" w:hAnsi="TimesNewRomanPS-BoldMT" w:cs="TimesNewRomanPS-BoldMT"/>
          <w:bCs/>
          <w:i/>
          <w:color w:val="000000"/>
        </w:rPr>
        <w:t>S</w:t>
      </w:r>
      <w:r w:rsidRPr="004F0C3D">
        <w:rPr>
          <w:rFonts w:ascii="TimesNewRomanPS-BoldMT" w:hAnsi="TimesNewRomanPS-BoldMT" w:cs="TimesNewRomanPS-BoldMT"/>
          <w:bCs/>
          <w:i/>
          <w:color w:val="000000"/>
          <w:vertAlign w:val="subscript"/>
        </w:rPr>
        <w:t>qual</w:t>
      </w:r>
      <w:proofErr w:type="spellEnd"/>
      <w:r>
        <w:rPr>
          <w:rFonts w:ascii="TimesNewRomanPS-BoldMT" w:hAnsi="TimesNewRomanPS-BoldMT" w:cs="TimesNewRomanPS-BoldMT"/>
          <w:bCs/>
          <w:color w:val="000000"/>
        </w:rPr>
        <w:t xml:space="preserve"> is the exogenous supply of a specific type of skills</w:t>
      </w:r>
      <w:r w:rsidR="003B62AC" w:rsidRPr="003B62AC">
        <w:rPr>
          <w:rFonts w:ascii="TimesNewRomanPS-BoldMT" w:hAnsi="TimesNewRomanPS-BoldMT" w:cs="TimesNewRomanPS-BoldMT"/>
          <w:bCs/>
          <w:color w:val="000000"/>
        </w:rPr>
        <w:t xml:space="preserve"> </w:t>
      </w:r>
      <w:r w:rsidR="003B62AC">
        <w:rPr>
          <w:rFonts w:ascii="TimesNewRomanPS-BoldMT" w:hAnsi="TimesNewRomanPS-BoldMT" w:cs="TimesNewRomanPS-BoldMT"/>
          <w:bCs/>
          <w:color w:val="000000"/>
        </w:rPr>
        <w:t xml:space="preserve">estimated based on the </w:t>
      </w:r>
      <w:r w:rsidR="003B62AC" w:rsidRPr="0029538D">
        <w:rPr>
          <w:rFonts w:ascii="TimesNewRomanPS-BoldMT" w:hAnsi="TimesNewRomanPS-BoldMT" w:cs="TimesNewRomanPS-BoldMT"/>
          <w:bCs/>
          <w:i/>
          <w:color w:val="000000"/>
        </w:rPr>
        <w:t>Labour Force Survey</w:t>
      </w:r>
      <w:r w:rsidR="003B62AC">
        <w:rPr>
          <w:rFonts w:ascii="TimesNewRomanPS-BoldMT" w:hAnsi="TimesNewRomanPS-BoldMT" w:cs="TimesNewRomanPS-BoldMT"/>
          <w:bCs/>
          <w:color w:val="000000"/>
        </w:rPr>
        <w:t xml:space="preserve"> (see next section)</w:t>
      </w:r>
      <w:r w:rsidRPr="002B4197">
        <w:rPr>
          <w:rFonts w:ascii="TimesNewRomanPS-BoldMT" w:hAnsi="TimesNewRomanPS-BoldMT" w:cs="TimesNewRomanPS-BoldMT"/>
          <w:bCs/>
          <w:color w:val="000000"/>
        </w:rPr>
        <w:t>.</w:t>
      </w:r>
      <w:r>
        <w:rPr>
          <w:rFonts w:ascii="TimesNewRomanPS-BoldMT" w:hAnsi="TimesNewRomanPS-BoldMT" w:cs="TimesNewRomanPS-BoldMT"/>
          <w:bCs/>
          <w:color w:val="000000"/>
        </w:rPr>
        <w:t xml:space="preserve"> We assume that skills dependent l</w:t>
      </w:r>
      <w:r w:rsidRPr="002B4197">
        <w:rPr>
          <w:rFonts w:ascii="TimesNewRomanPS-BoldMT" w:hAnsi="TimesNewRomanPS-BoldMT" w:cs="TimesNewRomanPS-BoldMT"/>
          <w:bCs/>
          <w:color w:val="000000"/>
        </w:rPr>
        <w:t xml:space="preserve">abour income </w:t>
      </w:r>
      <w:r>
        <w:rPr>
          <w:rFonts w:ascii="TimesNewRomanPS-BoldMT" w:hAnsi="TimesNewRomanPS-BoldMT" w:cs="TimesNewRomanPS-BoldMT"/>
          <w:bCs/>
          <w:color w:val="000000"/>
        </w:rPr>
        <w:t xml:space="preserve">is a function of </w:t>
      </w:r>
      <w:r w:rsidRPr="002B4197">
        <w:rPr>
          <w:rFonts w:ascii="TimesNewRomanPS-BoldMT" w:hAnsi="TimesNewRomanPS-BoldMT" w:cs="TimesNewRomanPS-BoldMT"/>
          <w:bCs/>
          <w:color w:val="000000"/>
        </w:rPr>
        <w:t>the individual’s age-dependent productivity (earnings) profile</w:t>
      </w:r>
      <w:r w:rsidR="008D7F87">
        <w:rPr>
          <w:rFonts w:ascii="TimesNewRomanPS-BoldMT" w:hAnsi="TimesNewRomanPS-BoldMT" w:cs="TimesNewRomanPS-BoldMT"/>
          <w:bCs/>
          <w:color w:val="000000"/>
        </w:rPr>
        <w:t xml:space="preserve"> </w:t>
      </w:r>
      <w:r w:rsidRPr="002B4197">
        <w:rPr>
          <w:rFonts w:ascii="TimesNewRomanPS-BoldMT" w:hAnsi="TimesNewRomanPS-BoldMT" w:cs="TimesNewRomanPS-BoldMT"/>
          <w:bCs/>
          <w:color w:val="000000"/>
        </w:rPr>
        <w:t>(</w:t>
      </w:r>
      <w:proofErr w:type="spellStart"/>
      <w:r w:rsidRPr="002B4197">
        <w:rPr>
          <w:rFonts w:ascii="TimesNewRomanPS-BoldMT" w:hAnsi="TimesNewRomanPS-BoldMT" w:cs="TimesNewRomanPS-BoldMT"/>
          <w:bCs/>
          <w:i/>
          <w:color w:val="000000"/>
        </w:rPr>
        <w:t>EP</w:t>
      </w:r>
      <w:r>
        <w:rPr>
          <w:rFonts w:ascii="TimesNewRomanPS-BoldMT" w:hAnsi="TimesNewRomanPS-BoldMT" w:cs="TimesNewRomanPS-BoldMT"/>
          <w:bCs/>
          <w:i/>
          <w:color w:val="000000"/>
          <w:vertAlign w:val="subscript"/>
        </w:rPr>
        <w:t>j</w:t>
      </w:r>
      <w:proofErr w:type="gramStart"/>
      <w:r>
        <w:rPr>
          <w:rFonts w:ascii="TimesNewRomanPS-BoldMT" w:hAnsi="TimesNewRomanPS-BoldMT" w:cs="TimesNewRomanPS-BoldMT"/>
          <w:bCs/>
          <w:i/>
          <w:color w:val="000000"/>
          <w:vertAlign w:val="subscript"/>
        </w:rPr>
        <w:t>,qual,g</w:t>
      </w:r>
      <w:proofErr w:type="spellEnd"/>
      <w:proofErr w:type="gramEnd"/>
      <w:r w:rsidRPr="002B4197">
        <w:rPr>
          <w:rFonts w:ascii="TimesNewRomanPS-BoldMT" w:hAnsi="TimesNewRomanPS-BoldMT" w:cs="TimesNewRomanPS-BoldMT"/>
          <w:bCs/>
          <w:color w:val="000000"/>
        </w:rPr>
        <w:t xml:space="preserve">) </w:t>
      </w:r>
      <w:r>
        <w:rPr>
          <w:rFonts w:ascii="TimesNewRomanPS-BoldMT" w:hAnsi="TimesNewRomanPS-BoldMT" w:cs="TimesNewRomanPS-BoldMT"/>
          <w:bCs/>
          <w:color w:val="000000"/>
        </w:rPr>
        <w:t xml:space="preserve">itself </w:t>
      </w:r>
      <w:r w:rsidRPr="002B4197">
        <w:rPr>
          <w:rFonts w:ascii="TimesNewRomanPS-BoldMT" w:hAnsi="TimesNewRomanPS-BoldMT" w:cs="TimesNewRomanPS-BoldMT"/>
          <w:bCs/>
          <w:color w:val="000000"/>
        </w:rPr>
        <w:t xml:space="preserve">defined as a quadratic function of age:  </w:t>
      </w:r>
    </w:p>
    <w:p w:rsidR="008E0637" w:rsidRPr="002B4197" w:rsidRDefault="008E0637" w:rsidP="00825180">
      <w:pPr>
        <w:spacing w:line="480" w:lineRule="auto"/>
        <w:jc w:val="both"/>
        <w:rPr>
          <w:rFonts w:ascii="TimesNewRomanPS-BoldMT" w:hAnsi="TimesNewRomanPS-BoldMT" w:cs="TimesNewRomanPS-BoldMT"/>
          <w:bCs/>
          <w:color w:val="000000"/>
        </w:rPr>
      </w:pPr>
      <w:r>
        <w:rPr>
          <w:rFonts w:ascii="TimesNewRomanPS-BoldMT" w:hAnsi="TimesNewRomanPS-BoldMT" w:cs="TimesNewRomanPS-BoldMT"/>
          <w:bCs/>
          <w:color w:val="000000"/>
        </w:rPr>
        <w:t>(9)</w:t>
      </w:r>
      <w:r>
        <w:rPr>
          <w:rFonts w:ascii="TimesNewRomanPS-BoldMT" w:hAnsi="TimesNewRomanPS-BoldMT" w:cs="TimesNewRomanPS-BoldMT"/>
          <w:bCs/>
          <w:color w:val="000000"/>
        </w:rPr>
        <w:tab/>
      </w:r>
      <w:r>
        <w:rPr>
          <w:rFonts w:ascii="TimesNewRomanPS-BoldMT" w:hAnsi="TimesNewRomanPS-BoldMT" w:cs="TimesNewRomanPS-BoldMT"/>
          <w:bCs/>
          <w:color w:val="000000"/>
        </w:rPr>
        <w:tab/>
      </w:r>
      <w:r>
        <w:rPr>
          <w:rFonts w:ascii="TimesNewRomanPS-BoldMT" w:hAnsi="TimesNewRomanPS-BoldMT" w:cs="TimesNewRomanPS-BoldMT"/>
          <w:bCs/>
          <w:color w:val="000000"/>
        </w:rPr>
        <w:tab/>
      </w:r>
      <w:r w:rsidRPr="002B4197">
        <w:rPr>
          <w:rFonts w:ascii="TimesNewRomanPS-BoldMT" w:hAnsi="TimesNewRomanPS-BoldMT" w:cs="TimesNewRomanPS-BoldMT"/>
          <w:bCs/>
          <w:color w:val="000000"/>
          <w:position w:val="-14"/>
        </w:rPr>
        <w:object w:dxaOrig="3540" w:dyaOrig="400">
          <v:shape id="_x0000_i1040" type="#_x0000_t75" style="width:177pt;height:19.5pt" o:ole="">
            <v:imagedata r:id="rId49" o:title=""/>
          </v:shape>
          <o:OLEObject Type="Embed" ProgID="Equation.3" ShapeID="_x0000_i1040" DrawAspect="Content" ObjectID="_1408263060" r:id="rId50"/>
        </w:object>
      </w:r>
      <w:r w:rsidRPr="002B4197">
        <w:rPr>
          <w:rFonts w:ascii="TimesNewRomanPS-BoldMT" w:hAnsi="TimesNewRomanPS-BoldMT" w:cs="TimesNewRomanPS-BoldMT"/>
          <w:bCs/>
          <w:color w:val="000000"/>
        </w:rPr>
        <w:t xml:space="preserve">, </w:t>
      </w:r>
      <w:r w:rsidRPr="002B4197">
        <w:rPr>
          <w:rFonts w:ascii="TimesNewRomanPS-BoldMT" w:hAnsi="TimesNewRomanPS-BoldMT" w:cs="TimesNewRomanPS-BoldMT"/>
          <w:bCs/>
          <w:i/>
          <w:color w:val="000000"/>
        </w:rPr>
        <w:t>γ, λ, ψ</w:t>
      </w:r>
      <w:r>
        <w:rPr>
          <w:rFonts w:ascii="TimesNewRomanPS-BoldMT" w:hAnsi="TimesNewRomanPS-BoldMT" w:cs="TimesNewRomanPS-BoldMT"/>
          <w:bCs/>
          <w:color w:val="000000"/>
        </w:rPr>
        <w:t xml:space="preserve"> ≥ 0 </w:t>
      </w:r>
    </w:p>
    <w:p w:rsidR="008E0637" w:rsidRPr="0029538D" w:rsidRDefault="008E0637" w:rsidP="00825180">
      <w:pPr>
        <w:spacing w:line="480" w:lineRule="auto"/>
        <w:jc w:val="both"/>
        <w:rPr>
          <w:rFonts w:ascii="TimesNewRomanPS-BoldMT" w:hAnsi="TimesNewRomanPS-BoldMT" w:cs="TimesNewRomanPS-BoldMT"/>
          <w:bCs/>
          <w:color w:val="000000"/>
          <w:u w:val="single"/>
        </w:rPr>
      </w:pPr>
      <w:proofErr w:type="gramStart"/>
      <w:r w:rsidRPr="002B4197">
        <w:rPr>
          <w:rFonts w:ascii="TimesNewRomanPS-BoldMT" w:hAnsi="TimesNewRomanPS-BoldMT" w:cs="TimesNewRomanPS-BoldMT"/>
          <w:bCs/>
          <w:color w:val="000000"/>
        </w:rPr>
        <w:t>with</w:t>
      </w:r>
      <w:proofErr w:type="gramEnd"/>
      <w:r w:rsidRPr="002B4197">
        <w:rPr>
          <w:rFonts w:ascii="TimesNewRomanPS-BoldMT" w:hAnsi="TimesNewRomanPS-BoldMT" w:cs="TimesNewRomanPS-BoldMT"/>
          <w:bCs/>
          <w:color w:val="000000"/>
        </w:rPr>
        <w:t xml:space="preserve"> parametric values </w:t>
      </w:r>
      <w:r w:rsidR="00302785">
        <w:rPr>
          <w:rFonts w:ascii="TimesNewRomanPS-BoldMT" w:hAnsi="TimesNewRomanPS-BoldMT" w:cs="TimesNewRomanPS-BoldMT"/>
          <w:bCs/>
          <w:color w:val="000000"/>
        </w:rPr>
        <w:t xml:space="preserve">estimated based on </w:t>
      </w:r>
      <w:r w:rsidR="0029538D">
        <w:rPr>
          <w:rFonts w:ascii="TimesNewRomanPS-BoldMT" w:hAnsi="TimesNewRomanPS-BoldMT" w:cs="TimesNewRomanPS-BoldMT"/>
          <w:bCs/>
          <w:color w:val="000000"/>
        </w:rPr>
        <w:t xml:space="preserve">the </w:t>
      </w:r>
      <w:r w:rsidR="00302785" w:rsidRPr="0029538D">
        <w:rPr>
          <w:rFonts w:ascii="TimesNewRomanPS-BoldMT" w:hAnsi="TimesNewRomanPS-BoldMT" w:cs="TimesNewRomanPS-BoldMT"/>
          <w:bCs/>
          <w:i/>
          <w:color w:val="000000"/>
        </w:rPr>
        <w:t>Labour Force Survey</w:t>
      </w:r>
      <w:r w:rsidR="00302785">
        <w:rPr>
          <w:rFonts w:ascii="TimesNewRomanPS-BoldMT" w:hAnsi="TimesNewRomanPS-BoldMT" w:cs="TimesNewRomanPS-BoldMT"/>
          <w:bCs/>
          <w:color w:val="000000"/>
        </w:rPr>
        <w:t xml:space="preserve"> (see next section</w:t>
      </w:r>
      <w:r w:rsidR="0029538D">
        <w:rPr>
          <w:rFonts w:ascii="TimesNewRomanPS-BoldMT" w:hAnsi="TimesNewRomanPS-BoldMT" w:cs="TimesNewRomanPS-BoldMT"/>
          <w:bCs/>
          <w:color w:val="000000"/>
        </w:rPr>
        <w:t xml:space="preserve">). </w:t>
      </w:r>
      <w:r w:rsidRPr="002B4197">
        <w:rPr>
          <w:rFonts w:ascii="TimesNewRomanPS-BoldMT" w:hAnsi="TimesNewRomanPS-BoldMT" w:cs="TimesNewRomanPS-BoldMT"/>
          <w:bCs/>
          <w:color w:val="000000"/>
        </w:rPr>
        <w:t xml:space="preserve">Retirees’ pension benefits </w:t>
      </w:r>
      <w:r w:rsidR="00ED5403">
        <w:rPr>
          <w:rFonts w:ascii="TimesNewRomanPS-BoldMT" w:hAnsi="TimesNewRomanPS-BoldMT" w:cs="TimesNewRomanPS-BoldMT"/>
          <w:bCs/>
          <w:color w:val="000000"/>
        </w:rPr>
        <w:t xml:space="preserve">are assumed to be the same across all generations and </w:t>
      </w:r>
      <w:r w:rsidR="00ED5403" w:rsidRPr="008D7F87">
        <w:rPr>
          <w:rFonts w:ascii="TimesNewRomanPS-BoldMT" w:hAnsi="TimesNewRomanPS-BoldMT" w:cs="TimesNewRomanPS-BoldMT"/>
          <w:bCs/>
          <w:color w:val="000000"/>
        </w:rPr>
        <w:t>qualification groups</w:t>
      </w:r>
      <w:r w:rsidR="00302785" w:rsidRPr="008D7F87">
        <w:rPr>
          <w:rFonts w:ascii="TimesNewRomanPS-BoldMT" w:hAnsi="TimesNewRomanPS-BoldMT" w:cs="TimesNewRomanPS-BoldMT"/>
          <w:bCs/>
          <w:color w:val="000000"/>
        </w:rPr>
        <w:t xml:space="preserve"> and stay constant in real terms</w:t>
      </w:r>
      <w:r w:rsidR="0029538D" w:rsidRPr="008D7F87">
        <w:rPr>
          <w:rFonts w:ascii="TimesNewRomanPS-BoldMT" w:hAnsi="TimesNewRomanPS-BoldMT" w:cs="TimesNewRomanPS-BoldMT"/>
          <w:bCs/>
          <w:color w:val="000000"/>
        </w:rPr>
        <w:t>.</w:t>
      </w:r>
      <w:r w:rsidR="0029538D">
        <w:rPr>
          <w:rFonts w:ascii="TimesNewRomanPS-BoldMT" w:hAnsi="TimesNewRomanPS-BoldMT" w:cs="TimesNewRomanPS-BoldMT"/>
          <w:bCs/>
          <w:color w:val="000000"/>
          <w:u w:val="single"/>
        </w:rPr>
        <w:t xml:space="preserve"> </w:t>
      </w:r>
      <w:r w:rsidR="00C45EBE">
        <w:rPr>
          <w:rFonts w:ascii="TimesNewRomanPS-BoldMT" w:hAnsi="TimesNewRomanPS-BoldMT" w:cs="TimesNewRomanPS-BoldMT"/>
          <w:bCs/>
          <w:color w:val="000000"/>
        </w:rPr>
        <w:t>Di</w:t>
      </w:r>
      <w:r w:rsidR="00C45EBE" w:rsidRPr="002B4197">
        <w:rPr>
          <w:rFonts w:ascii="TimesNewRomanPS-BoldMT" w:hAnsi="TimesNewRomanPS-BoldMT" w:cs="TimesNewRomanPS-BoldMT"/>
          <w:bCs/>
          <w:color w:val="000000"/>
        </w:rPr>
        <w:t>fferentiating</w:t>
      </w:r>
      <w:r w:rsidRPr="002B4197">
        <w:rPr>
          <w:rFonts w:ascii="TimesNewRomanPS-BoldMT" w:hAnsi="TimesNewRomanPS-BoldMT" w:cs="TimesNewRomanPS-BoldMT"/>
          <w:bCs/>
          <w:color w:val="000000"/>
        </w:rPr>
        <w:t xml:space="preserve"> the household utility function with respect to its lifetime budget constraint yields the following first-order condition for consumption:</w:t>
      </w:r>
    </w:p>
    <w:p w:rsidR="008E0637" w:rsidRDefault="008E0637" w:rsidP="00825180">
      <w:pPr>
        <w:spacing w:line="480" w:lineRule="auto"/>
        <w:jc w:val="both"/>
        <w:rPr>
          <w:rFonts w:ascii="TimesNewRomanPS-BoldMT" w:hAnsi="TimesNewRomanPS-BoldMT" w:cs="TimesNewRomanPS-BoldMT"/>
          <w:bCs/>
          <w:color w:val="000000"/>
        </w:rPr>
      </w:pPr>
      <w:r>
        <w:lastRenderedPageBreak/>
        <w:t>(1</w:t>
      </w:r>
      <w:r w:rsidR="00302785">
        <w:t>0</w:t>
      </w:r>
      <w:r>
        <w:t>)</w:t>
      </w:r>
      <w:r>
        <w:tab/>
      </w:r>
      <w:r>
        <w:tab/>
      </w:r>
      <w:r>
        <w:tab/>
      </w:r>
      <w:r w:rsidRPr="00957D17">
        <w:rPr>
          <w:position w:val="-34"/>
        </w:rPr>
        <w:object w:dxaOrig="4420" w:dyaOrig="940">
          <v:shape id="_x0000_i1041" type="#_x0000_t75" style="width:222pt;height:46.5pt" o:ole="">
            <v:imagedata r:id="rId51" o:title=""/>
          </v:shape>
          <o:OLEObject Type="Embed" ProgID="Equation.3" ShapeID="_x0000_i1041" DrawAspect="Content" ObjectID="_1408263061" r:id="rId52"/>
        </w:object>
      </w:r>
    </w:p>
    <w:p w:rsidR="008E0637" w:rsidRDefault="008E0637" w:rsidP="00825180">
      <w:pPr>
        <w:spacing w:line="480" w:lineRule="auto"/>
        <w:jc w:val="both"/>
      </w:pPr>
      <w:proofErr w:type="gramStart"/>
      <w:r>
        <w:t>where</w:t>
      </w:r>
      <w:proofErr w:type="gramEnd"/>
      <w:r>
        <w:t xml:space="preserve"> </w:t>
      </w:r>
      <w:r w:rsidRPr="00A52501">
        <w:rPr>
          <w:position w:val="-12"/>
        </w:rPr>
        <w:object w:dxaOrig="340" w:dyaOrig="380">
          <v:shape id="_x0000_i1042" type="#_x0000_t75" style="width:17.25pt;height:18.75pt" o:ole="">
            <v:imagedata r:id="rId53" o:title=""/>
          </v:shape>
          <o:OLEObject Type="Embed" ProgID="Equation.DSMT4" ShapeID="_x0000_i1042" DrawAspect="Content" ObjectID="_1408263062" r:id="rId54"/>
        </w:object>
      </w:r>
      <w:r>
        <w:t xml:space="preserve"> is the consumption price index. </w:t>
      </w:r>
      <w:r>
        <w:tab/>
      </w:r>
      <w:r>
        <w:tab/>
      </w:r>
      <w:r>
        <w:tab/>
      </w:r>
      <w:r>
        <w:tab/>
      </w:r>
    </w:p>
    <w:p w:rsidR="00825180" w:rsidRDefault="00825180" w:rsidP="00825180">
      <w:pPr>
        <w:pStyle w:val="Heading2"/>
        <w:keepNext w:val="0"/>
        <w:spacing w:before="0" w:after="0" w:line="480" w:lineRule="auto"/>
        <w:jc w:val="both"/>
        <w:rPr>
          <w:rFonts w:ascii="Times New Roman" w:hAnsi="Times New Roman" w:cs="Times New Roman"/>
          <w:i w:val="0"/>
          <w:sz w:val="24"/>
          <w:szCs w:val="24"/>
        </w:rPr>
      </w:pPr>
    </w:p>
    <w:p w:rsidR="008E0637" w:rsidRPr="00825180" w:rsidRDefault="008E0637" w:rsidP="00825180">
      <w:pPr>
        <w:pStyle w:val="Heading2"/>
        <w:keepNext w:val="0"/>
        <w:spacing w:before="0" w:after="0" w:line="480" w:lineRule="auto"/>
        <w:jc w:val="both"/>
        <w:rPr>
          <w:rFonts w:ascii="Times New Roman" w:eastAsia="Arial Unicode MS" w:hAnsi="Times New Roman" w:cs="Times New Roman"/>
          <w:i w:val="0"/>
          <w:sz w:val="24"/>
          <w:szCs w:val="24"/>
        </w:rPr>
      </w:pPr>
      <w:r w:rsidRPr="00825180">
        <w:rPr>
          <w:rFonts w:ascii="Times New Roman" w:hAnsi="Times New Roman" w:cs="Times New Roman"/>
          <w:i w:val="0"/>
          <w:sz w:val="24"/>
          <w:szCs w:val="24"/>
        </w:rPr>
        <w:t>2.3 Investment and Asset Returns</w:t>
      </w:r>
    </w:p>
    <w:p w:rsidR="008E0637" w:rsidRDefault="008E0637" w:rsidP="00706E55">
      <w:pPr>
        <w:spacing w:line="480" w:lineRule="auto"/>
        <w:ind w:firstLine="720"/>
        <w:jc w:val="both"/>
      </w:pPr>
      <w:r>
        <w:t>The accumulation of Scotland’s capital stock (</w:t>
      </w:r>
      <w:proofErr w:type="spellStart"/>
      <w:r w:rsidRPr="005F62C2">
        <w:rPr>
          <w:i/>
        </w:rPr>
        <w:t>K</w:t>
      </w:r>
      <w:r>
        <w:rPr>
          <w:i/>
        </w:rPr>
        <w:t>stock</w:t>
      </w:r>
      <w:proofErr w:type="spellEnd"/>
      <w:r>
        <w:t xml:space="preserve">) is subject to depreciation: </w:t>
      </w:r>
    </w:p>
    <w:p w:rsidR="008E0637" w:rsidRDefault="008E0637" w:rsidP="00825180">
      <w:pPr>
        <w:spacing w:line="480" w:lineRule="auto"/>
        <w:jc w:val="both"/>
      </w:pPr>
      <w:r>
        <w:t>(1</w:t>
      </w:r>
      <w:r w:rsidR="00302785">
        <w:t>1</w:t>
      </w:r>
      <w:r>
        <w:t>)</w:t>
      </w:r>
      <w:r>
        <w:tab/>
      </w:r>
      <w:r>
        <w:tab/>
      </w:r>
      <w:r>
        <w:tab/>
      </w:r>
      <w:r w:rsidRPr="00215789">
        <w:rPr>
          <w:position w:val="-14"/>
        </w:rPr>
        <w:object w:dxaOrig="3580" w:dyaOrig="380">
          <v:shape id="_x0000_i1043" type="#_x0000_t75" style="width:178.5pt;height:18.75pt" o:ole="" fillcolor="window">
            <v:imagedata r:id="rId55" o:title=""/>
          </v:shape>
          <o:OLEObject Type="Embed" ProgID="Equation.3" ShapeID="_x0000_i1043" DrawAspect="Content" ObjectID="_1408263063" r:id="rId56"/>
        </w:object>
      </w:r>
      <w:r>
        <w:t xml:space="preserve"> </w:t>
      </w:r>
    </w:p>
    <w:p w:rsidR="008E0637" w:rsidRDefault="008E0637" w:rsidP="00825180">
      <w:pPr>
        <w:spacing w:line="480" w:lineRule="auto"/>
        <w:jc w:val="both"/>
      </w:pPr>
      <w:proofErr w:type="gramStart"/>
      <w:r>
        <w:t>where</w:t>
      </w:r>
      <w:proofErr w:type="gramEnd"/>
      <w:r>
        <w:t xml:space="preserve"> </w:t>
      </w:r>
      <w:r w:rsidRPr="00062E1C">
        <w:rPr>
          <w:i/>
        </w:rPr>
        <w:t>Inv</w:t>
      </w:r>
      <w:r>
        <w:t xml:space="preserve"> represents investment and </w:t>
      </w:r>
      <w:r>
        <w:rPr>
          <w:i/>
        </w:rPr>
        <w:t>δ</w:t>
      </w:r>
      <w:r>
        <w:t xml:space="preserve"> the depreciation rate of capital. </w:t>
      </w:r>
    </w:p>
    <w:p w:rsidR="008E0637" w:rsidRDefault="008E0637" w:rsidP="00825180">
      <w:pPr>
        <w:spacing w:line="480" w:lineRule="auto"/>
        <w:ind w:firstLine="720"/>
        <w:jc w:val="both"/>
      </w:pPr>
      <w:r>
        <w:t xml:space="preserve">Financial markets are fully integrated. This means that financial capital is perfectly mobile across regions and undifferentiated so that interest rate parity holds. Let us denote by </w:t>
      </w:r>
      <w:proofErr w:type="spellStart"/>
      <w:proofErr w:type="gramStart"/>
      <w:r w:rsidRPr="00E92AD0">
        <w:rPr>
          <w:i/>
        </w:rPr>
        <w:t>R</w:t>
      </w:r>
      <w:r w:rsidRPr="008D7F87">
        <w:rPr>
          <w:i/>
        </w:rPr>
        <w:t>i</w:t>
      </w:r>
      <w:proofErr w:type="spellEnd"/>
      <w:proofErr w:type="gramEnd"/>
      <w:r>
        <w:t xml:space="preserve"> the rate of return on physical assets; it is defined as the rental rate minus the depreciation rate, plus capital gains:</w:t>
      </w:r>
    </w:p>
    <w:p w:rsidR="008E0637" w:rsidRPr="0057162D" w:rsidRDefault="008E0637" w:rsidP="00825180">
      <w:pPr>
        <w:spacing w:line="480" w:lineRule="auto"/>
        <w:jc w:val="both"/>
      </w:pPr>
      <w:r w:rsidRPr="0057162D">
        <w:t>(</w:t>
      </w:r>
      <w:r>
        <w:t>1</w:t>
      </w:r>
      <w:r w:rsidR="00302785">
        <w:t>2</w:t>
      </w:r>
      <w:r w:rsidRPr="0057162D">
        <w:t>)</w:t>
      </w:r>
      <w:r>
        <w:tab/>
      </w:r>
      <w:r>
        <w:tab/>
      </w:r>
      <w:r>
        <w:tab/>
      </w:r>
      <w:r>
        <w:tab/>
      </w:r>
      <w:r w:rsidRPr="00062E1C">
        <w:rPr>
          <w:position w:val="-34"/>
        </w:rPr>
        <w:object w:dxaOrig="2820" w:dyaOrig="800">
          <v:shape id="_x0000_i1044" type="#_x0000_t75" style="width:141pt;height:41.25pt" o:ole="" fillcolor="window">
            <v:imagedata r:id="rId57" o:title=""/>
          </v:shape>
          <o:OLEObject Type="Embed" ProgID="Equation.3" ShapeID="_x0000_i1044" DrawAspect="Content" ObjectID="_1408263064" r:id="rId58"/>
        </w:object>
      </w:r>
      <w:r>
        <w:t xml:space="preserve">  </w:t>
      </w:r>
    </w:p>
    <w:p w:rsidR="008E0637" w:rsidRPr="00405C75" w:rsidRDefault="008E0637" w:rsidP="00825180">
      <w:pPr>
        <w:spacing w:line="480" w:lineRule="auto"/>
        <w:jc w:val="both"/>
        <w:rPr>
          <w:b/>
        </w:rPr>
      </w:pPr>
      <w:r w:rsidRPr="00405C75">
        <w:rPr>
          <w:b/>
        </w:rPr>
        <w:t>2.4 Government Sector</w:t>
      </w:r>
    </w:p>
    <w:p w:rsidR="008E0637" w:rsidRDefault="008E0637" w:rsidP="00706E55">
      <w:pPr>
        <w:spacing w:line="480" w:lineRule="auto"/>
        <w:ind w:firstLine="720"/>
        <w:jc w:val="both"/>
      </w:pPr>
      <w:r>
        <w:t xml:space="preserve">The Scottish </w:t>
      </w:r>
      <w:r w:rsidR="008D7F87">
        <w:t>G</w:t>
      </w:r>
      <w:r>
        <w:t xml:space="preserve">overnment </w:t>
      </w:r>
      <w:r w:rsidR="00B9252E">
        <w:t>receives transfers</w:t>
      </w:r>
      <w:r w:rsidR="008D7F87">
        <w:t xml:space="preserve"> from the UK government </w:t>
      </w:r>
      <w:r>
        <w:t>(</w:t>
      </w:r>
      <w:r w:rsidRPr="00CF4464">
        <w:rPr>
          <w:i/>
        </w:rPr>
        <w:t>UKTRF</w:t>
      </w:r>
      <w:r>
        <w:t>) and interest income from its assets (</w:t>
      </w:r>
      <w:r w:rsidRPr="00CF4464">
        <w:rPr>
          <w:i/>
        </w:rPr>
        <w:t>GA</w:t>
      </w:r>
      <w:r>
        <w:t>). Consequently its budget constraint is defined as:</w:t>
      </w:r>
    </w:p>
    <w:p w:rsidR="008E0637" w:rsidRDefault="008E0637" w:rsidP="00825180">
      <w:pPr>
        <w:spacing w:line="480" w:lineRule="auto"/>
        <w:jc w:val="both"/>
      </w:pPr>
      <w:r>
        <w:t>(1</w:t>
      </w:r>
      <w:r w:rsidR="00302785">
        <w:t>3</w:t>
      </w:r>
      <w:r>
        <w:t>)</w:t>
      </w:r>
      <w:r w:rsidR="00302785" w:rsidRPr="00302785">
        <w:rPr>
          <w:position w:val="-66"/>
        </w:rPr>
        <w:object w:dxaOrig="8840" w:dyaOrig="1440">
          <v:shape id="_x0000_i1045" type="#_x0000_t75" style="width:408.75pt;height:66.75pt" o:ole="">
            <v:imagedata r:id="rId59" o:title=""/>
          </v:shape>
          <o:OLEObject Type="Embed" ProgID="Equation.3" ShapeID="_x0000_i1045" DrawAspect="Content" ObjectID="_1408263065" r:id="rId60"/>
        </w:object>
      </w:r>
    </w:p>
    <w:p w:rsidR="00BE175B" w:rsidRDefault="008E0637" w:rsidP="00BE175B">
      <w:pPr>
        <w:spacing w:line="480" w:lineRule="auto"/>
        <w:jc w:val="both"/>
      </w:pPr>
      <w:proofErr w:type="gramStart"/>
      <w:r>
        <w:t>where</w:t>
      </w:r>
      <w:proofErr w:type="gramEnd"/>
      <w:r>
        <w:t xml:space="preserve">, </w:t>
      </w:r>
      <w:r w:rsidRPr="00062E1C">
        <w:rPr>
          <w:i/>
        </w:rPr>
        <w:sym w:font="Symbol" w:char="F074"/>
      </w:r>
      <w:r w:rsidRPr="00062E1C">
        <w:rPr>
          <w:i/>
          <w:vertAlign w:val="superscript"/>
        </w:rPr>
        <w:t>C</w:t>
      </w:r>
      <w:r>
        <w:t xml:space="preserve"> is the effective tax rate on consumption, </w:t>
      </w:r>
      <w:proofErr w:type="spellStart"/>
      <w:r w:rsidRPr="00062E1C">
        <w:rPr>
          <w:i/>
        </w:rPr>
        <w:t>Gov</w:t>
      </w:r>
      <w:r>
        <w:rPr>
          <w:i/>
        </w:rPr>
        <w:t>E</w:t>
      </w:r>
      <w:proofErr w:type="spellEnd"/>
      <w:r>
        <w:t xml:space="preserve"> is public expenditures on education,</w:t>
      </w:r>
      <w:r w:rsidRPr="00CF4464">
        <w:rPr>
          <w:i/>
        </w:rPr>
        <w:t xml:space="preserve"> </w:t>
      </w:r>
      <w:proofErr w:type="spellStart"/>
      <w:r w:rsidRPr="00062E1C">
        <w:rPr>
          <w:i/>
        </w:rPr>
        <w:t>Gov</w:t>
      </w:r>
      <w:r>
        <w:rPr>
          <w:i/>
        </w:rPr>
        <w:t>H</w:t>
      </w:r>
      <w:proofErr w:type="spellEnd"/>
      <w:r>
        <w:rPr>
          <w:i/>
        </w:rPr>
        <w:t xml:space="preserve"> </w:t>
      </w:r>
      <w:r>
        <w:t xml:space="preserve">is public expenditures on health care and </w:t>
      </w:r>
      <w:r w:rsidRPr="00062E1C">
        <w:rPr>
          <w:i/>
        </w:rPr>
        <w:t>Gov</w:t>
      </w:r>
      <w:r>
        <w:rPr>
          <w:i/>
        </w:rPr>
        <w:t xml:space="preserve"> </w:t>
      </w:r>
      <w:r>
        <w:t xml:space="preserve">is public expenditures </w:t>
      </w:r>
      <w:r>
        <w:lastRenderedPageBreak/>
        <w:t>on other sectors.  The left hand side of the equation shows tax revenues from different sources, the interest income fr</w:t>
      </w:r>
      <w:r w:rsidR="00302785">
        <w:t>o</w:t>
      </w:r>
      <w:r>
        <w:t>m government assets and the transfers received from the UK government. The right hand side of the equation refers to government expenditures and transfers</w:t>
      </w:r>
      <w:r w:rsidR="00B9252E">
        <w:t xml:space="preserve"> to household</w:t>
      </w:r>
      <w:r w:rsidR="008D7F87">
        <w:t>s</w:t>
      </w:r>
      <w:r>
        <w:t xml:space="preserve">. Note that the representative household of generation </w:t>
      </w:r>
      <w:r w:rsidRPr="007E4B49">
        <w:rPr>
          <w:i/>
        </w:rPr>
        <w:t>g</w:t>
      </w:r>
      <w:r>
        <w:t xml:space="preserve"> at time </w:t>
      </w:r>
      <w:r w:rsidRPr="007E4B49">
        <w:rPr>
          <w:i/>
        </w:rPr>
        <w:t>t</w:t>
      </w:r>
      <w:r>
        <w:t xml:space="preserve"> in </w:t>
      </w:r>
      <w:r w:rsidRPr="007E4B49">
        <w:rPr>
          <w:i/>
        </w:rPr>
        <w:t>j</w:t>
      </w:r>
      <w:r>
        <w:t xml:space="preserve"> represents a specific cohort of size </w:t>
      </w:r>
      <w:r w:rsidRPr="00B6437E">
        <w:rPr>
          <w:position w:val="-14"/>
        </w:rPr>
        <w:object w:dxaOrig="780" w:dyaOrig="380">
          <v:shape id="_x0000_i1046" type="#_x0000_t75" style="width:39pt;height:18.75pt" o:ole="">
            <v:imagedata r:id="rId61" o:title=""/>
          </v:shape>
          <o:OLEObject Type="Embed" ProgID="Equation.3" ShapeID="_x0000_i1046" DrawAspect="Content" ObjectID="_1408263066" r:id="rId62"/>
        </w:object>
      </w:r>
      <w:r>
        <w:t xml:space="preserve">and the size of each cohort must be taken into account when computing total tax revenues </w:t>
      </w:r>
      <w:r w:rsidR="00B9252E">
        <w:t xml:space="preserve">and transfers to household </w:t>
      </w:r>
      <w:r w:rsidR="002653D7">
        <w:t xml:space="preserve">in a specific period of time. </w:t>
      </w:r>
      <w:r w:rsidRPr="008D7F87">
        <w:t xml:space="preserve">The size of the cohort itself is exogenously given by the two </w:t>
      </w:r>
      <w:r w:rsidR="006E4D35" w:rsidRPr="008D7F87">
        <w:t xml:space="preserve">demographic </w:t>
      </w:r>
      <w:r w:rsidR="00302785" w:rsidRPr="008D7F87">
        <w:t>processes</w:t>
      </w:r>
      <w:r w:rsidR="006E4D35" w:rsidRPr="008D7F87">
        <w:t>—f</w:t>
      </w:r>
      <w:r w:rsidR="00ED5403" w:rsidRPr="008D7F87">
        <w:t>ertility and mortality</w:t>
      </w:r>
      <w:r w:rsidR="006E4D35" w:rsidRPr="008D7F87">
        <w:t>.</w:t>
      </w:r>
      <w:r w:rsidR="006E4D35">
        <w:t xml:space="preserve"> </w:t>
      </w:r>
      <w:r>
        <w:t>Note as well that the pension program is part of the overall government budget.</w:t>
      </w:r>
    </w:p>
    <w:p w:rsidR="00BE175B" w:rsidRDefault="00BE175B" w:rsidP="00BE175B">
      <w:pPr>
        <w:spacing w:line="480" w:lineRule="auto"/>
        <w:ind w:firstLine="720"/>
        <w:jc w:val="both"/>
      </w:pPr>
      <w:r>
        <w:t xml:space="preserve">Public expenditures on health and education are age-dependent. They are held fixed per person of specific age. More specifically, </w:t>
      </w:r>
      <w:proofErr w:type="spellStart"/>
      <w:r w:rsidRPr="00451821">
        <w:rPr>
          <w:i/>
        </w:rPr>
        <w:t>ASHE</w:t>
      </w:r>
      <w:r>
        <w:rPr>
          <w:i/>
        </w:rPr>
        <w:t>PC</w:t>
      </w:r>
      <w:r w:rsidRPr="00451821">
        <w:rPr>
          <w:i/>
          <w:vertAlign w:val="subscript"/>
        </w:rPr>
        <w:t>g</w:t>
      </w:r>
      <w:proofErr w:type="spellEnd"/>
      <w:r>
        <w:t xml:space="preserve"> is </w:t>
      </w:r>
      <w:r w:rsidR="007E3254">
        <w:t>age-specific health expenditure</w:t>
      </w:r>
      <w:r>
        <w:t xml:space="preserve"> per-person and </w:t>
      </w:r>
      <w:proofErr w:type="spellStart"/>
      <w:r w:rsidRPr="00451821">
        <w:rPr>
          <w:i/>
        </w:rPr>
        <w:t>ASEE</w:t>
      </w:r>
      <w:r>
        <w:rPr>
          <w:i/>
        </w:rPr>
        <w:t>PC</w:t>
      </w:r>
      <w:r w:rsidRPr="00451821">
        <w:rPr>
          <w:i/>
          <w:vertAlign w:val="subscript"/>
        </w:rPr>
        <w:t>g</w:t>
      </w:r>
      <w:proofErr w:type="spellEnd"/>
      <w:r>
        <w:t xml:space="preserve"> is age</w:t>
      </w:r>
      <w:r w:rsidR="007E3254">
        <w:t>-specific education expenditure</w:t>
      </w:r>
      <w:r>
        <w:t xml:space="preserve"> per-person. Therefore, </w:t>
      </w:r>
      <w:r w:rsidR="007E3254">
        <w:t>total public expenditure</w:t>
      </w:r>
      <w:r>
        <w:t xml:space="preserve"> in these categories depends not only on the size of the population but a</w:t>
      </w:r>
      <w:r w:rsidR="007E3254">
        <w:t xml:space="preserve">lso on the </w:t>
      </w:r>
      <w:r>
        <w:t>age structure:</w:t>
      </w:r>
    </w:p>
    <w:p w:rsidR="00BE175B" w:rsidRDefault="00EC0403" w:rsidP="00EC0403">
      <w:pPr>
        <w:spacing w:line="480" w:lineRule="auto"/>
        <w:jc w:val="both"/>
      </w:pPr>
      <w:r>
        <w:t>(14)</w:t>
      </w:r>
      <w:r>
        <w:tab/>
      </w:r>
      <w:r>
        <w:tab/>
      </w:r>
      <w:r>
        <w:tab/>
      </w:r>
      <m:oMath>
        <m:sSub>
          <m:sSubPr>
            <m:ctrlPr>
              <w:rPr>
                <w:rFonts w:ascii="Cambria Math" w:hAnsi="Cambria Math"/>
                <w:i/>
              </w:rPr>
            </m:ctrlPr>
          </m:sSubPr>
          <m:e>
            <m:r>
              <w:rPr>
                <w:rFonts w:ascii="Cambria Math" w:hAnsi="Cambria Math"/>
              </w:rPr>
              <m:t>GovH</m:t>
            </m:r>
          </m:e>
          <m:sub>
            <m:r>
              <w:rPr>
                <w:rFonts w:ascii="Cambria Math" w:hAnsi="Cambria Math"/>
              </w:rPr>
              <m:t>j,t</m:t>
            </m:r>
          </m:sub>
        </m:sSub>
        <m:r>
          <w:rPr>
            <w:rFonts w:ascii="Cambria Math" w:hAnsi="Cambria Math"/>
          </w:rPr>
          <m:t>=</m:t>
        </m:r>
        <m:nary>
          <m:naryPr>
            <m:chr m:val="∑"/>
            <m:limLoc m:val="undOvr"/>
            <m:supHide m:val="on"/>
            <m:ctrlPr>
              <w:rPr>
                <w:rFonts w:ascii="Cambria Math" w:hAnsi="Cambria Math"/>
                <w:i/>
              </w:rPr>
            </m:ctrlPr>
          </m:naryPr>
          <m:sub>
            <m:r>
              <w:rPr>
                <w:rFonts w:ascii="Cambria Math" w:hAnsi="Cambria Math"/>
              </w:rPr>
              <m:t>g</m:t>
            </m:r>
          </m:sub>
          <m:sup/>
          <m:e>
            <m:sSub>
              <m:sSubPr>
                <m:ctrlPr>
                  <w:rPr>
                    <w:rFonts w:ascii="Cambria Math" w:hAnsi="Cambria Math"/>
                    <w:i/>
                  </w:rPr>
                </m:ctrlPr>
              </m:sSubPr>
              <m:e>
                <m:r>
                  <w:rPr>
                    <w:rFonts w:ascii="Cambria Math" w:hAnsi="Cambria Math"/>
                  </w:rPr>
                  <m:t>Pop</m:t>
                </m:r>
              </m:e>
              <m:sub>
                <m:r>
                  <w:rPr>
                    <w:rFonts w:ascii="Cambria Math" w:hAnsi="Cambria Math"/>
                  </w:rPr>
                  <m:t>j,t,g</m:t>
                </m:r>
              </m:sub>
            </m:sSub>
            <m:sSub>
              <m:sSubPr>
                <m:ctrlPr>
                  <w:rPr>
                    <w:rFonts w:ascii="Cambria Math" w:hAnsi="Cambria Math"/>
                    <w:i/>
                  </w:rPr>
                </m:ctrlPr>
              </m:sSubPr>
              <m:e>
                <m:r>
                  <w:rPr>
                    <w:rFonts w:ascii="Cambria Math" w:hAnsi="Cambria Math"/>
                  </w:rPr>
                  <m:t>ASHEPC</m:t>
                </m:r>
              </m:e>
              <m:sub>
                <m:r>
                  <w:rPr>
                    <w:rFonts w:ascii="Cambria Math" w:hAnsi="Cambria Math"/>
                  </w:rPr>
                  <m:t>g</m:t>
                </m:r>
              </m:sub>
            </m:sSub>
          </m:e>
        </m:nary>
      </m:oMath>
    </w:p>
    <w:p w:rsidR="00EC0403" w:rsidRDefault="00EC0403" w:rsidP="00EC0403">
      <w:pPr>
        <w:spacing w:line="480" w:lineRule="auto"/>
        <w:jc w:val="both"/>
      </w:pPr>
      <w:r>
        <w:t>(15)</w:t>
      </w:r>
      <w:r>
        <w:tab/>
      </w:r>
      <w:r>
        <w:tab/>
      </w:r>
      <w:r>
        <w:tab/>
      </w:r>
      <m:oMath>
        <m:sSub>
          <m:sSubPr>
            <m:ctrlPr>
              <w:rPr>
                <w:rFonts w:ascii="Cambria Math" w:hAnsi="Cambria Math"/>
                <w:i/>
              </w:rPr>
            </m:ctrlPr>
          </m:sSubPr>
          <m:e>
            <m:r>
              <w:rPr>
                <w:rFonts w:ascii="Cambria Math" w:hAnsi="Cambria Math"/>
              </w:rPr>
              <m:t>GovE</m:t>
            </m:r>
          </m:e>
          <m:sub>
            <m:r>
              <w:rPr>
                <w:rFonts w:ascii="Cambria Math" w:hAnsi="Cambria Math"/>
              </w:rPr>
              <m:t>j,t</m:t>
            </m:r>
          </m:sub>
        </m:sSub>
        <m:r>
          <w:rPr>
            <w:rFonts w:ascii="Cambria Math" w:hAnsi="Cambria Math"/>
          </w:rPr>
          <m:t>=</m:t>
        </m:r>
        <m:nary>
          <m:naryPr>
            <m:chr m:val="∑"/>
            <m:limLoc m:val="undOvr"/>
            <m:supHide m:val="on"/>
            <m:ctrlPr>
              <w:rPr>
                <w:rFonts w:ascii="Cambria Math" w:hAnsi="Cambria Math"/>
                <w:i/>
              </w:rPr>
            </m:ctrlPr>
          </m:naryPr>
          <m:sub>
            <m:r>
              <w:rPr>
                <w:rFonts w:ascii="Cambria Math" w:hAnsi="Cambria Math"/>
              </w:rPr>
              <m:t>g</m:t>
            </m:r>
          </m:sub>
          <m:sup/>
          <m:e>
            <m:sSub>
              <m:sSubPr>
                <m:ctrlPr>
                  <w:rPr>
                    <w:rFonts w:ascii="Cambria Math" w:hAnsi="Cambria Math"/>
                    <w:i/>
                  </w:rPr>
                </m:ctrlPr>
              </m:sSubPr>
              <m:e>
                <m:r>
                  <w:rPr>
                    <w:rFonts w:ascii="Cambria Math" w:hAnsi="Cambria Math"/>
                  </w:rPr>
                  <m:t>Pop</m:t>
                </m:r>
              </m:e>
              <m:sub>
                <m:r>
                  <w:rPr>
                    <w:rFonts w:ascii="Cambria Math" w:hAnsi="Cambria Math"/>
                  </w:rPr>
                  <m:t>j,t,g</m:t>
                </m:r>
              </m:sub>
            </m:sSub>
            <m:sSub>
              <m:sSubPr>
                <m:ctrlPr>
                  <w:rPr>
                    <w:rFonts w:ascii="Cambria Math" w:hAnsi="Cambria Math"/>
                    <w:i/>
                  </w:rPr>
                </m:ctrlPr>
              </m:sSubPr>
              <m:e>
                <m:r>
                  <w:rPr>
                    <w:rFonts w:ascii="Cambria Math" w:hAnsi="Cambria Math"/>
                  </w:rPr>
                  <m:t>ASEEPC</m:t>
                </m:r>
              </m:e>
              <m:sub>
                <m:r>
                  <w:rPr>
                    <w:rFonts w:ascii="Cambria Math" w:hAnsi="Cambria Math"/>
                  </w:rPr>
                  <m:t>g</m:t>
                </m:r>
              </m:sub>
            </m:sSub>
          </m:e>
        </m:nary>
      </m:oMath>
    </w:p>
    <w:p w:rsidR="00BE175B" w:rsidRDefault="00BE175B" w:rsidP="00BE175B">
      <w:pPr>
        <w:spacing w:line="480" w:lineRule="auto"/>
        <w:jc w:val="both"/>
      </w:pPr>
      <w:r>
        <w:t>Other types of public expenditures</w:t>
      </w:r>
      <w:r w:rsidR="00F052E8">
        <w:t xml:space="preserve">, </w:t>
      </w:r>
      <w:r w:rsidR="00F052E8" w:rsidRPr="00451821">
        <w:rPr>
          <w:i/>
        </w:rPr>
        <w:t>GEPC</w:t>
      </w:r>
      <w:r w:rsidR="00F052E8">
        <w:rPr>
          <w:i/>
        </w:rPr>
        <w:t>,</w:t>
      </w:r>
      <w:r>
        <w:t xml:space="preserve"> are assumed to be age invariant</w:t>
      </w:r>
      <w:r w:rsidR="00F052E8">
        <w:t xml:space="preserve">. That is they </w:t>
      </w:r>
      <w:r>
        <w:t>are fixed p</w:t>
      </w:r>
      <w:r w:rsidR="00F052E8">
        <w:t xml:space="preserve">er person and total expenditure, </w:t>
      </w:r>
      <w:proofErr w:type="spellStart"/>
      <w:r w:rsidR="00F052E8" w:rsidRPr="00451821">
        <w:rPr>
          <w:i/>
        </w:rPr>
        <w:t>TPop</w:t>
      </w:r>
      <w:proofErr w:type="spellEnd"/>
      <w:r w:rsidR="00F052E8">
        <w:rPr>
          <w:i/>
        </w:rPr>
        <w:t>,</w:t>
      </w:r>
      <w:r>
        <w:t xml:space="preserve"> depend</w:t>
      </w:r>
      <w:r w:rsidR="00F052E8">
        <w:t>s</w:t>
      </w:r>
      <w:r>
        <w:t xml:space="preserve"> only on the size of the total population.</w:t>
      </w:r>
    </w:p>
    <w:p w:rsidR="00BE175B" w:rsidRDefault="00BE175B" w:rsidP="00BE175B">
      <w:pPr>
        <w:spacing w:line="480" w:lineRule="auto"/>
        <w:jc w:val="both"/>
      </w:pPr>
      <w:r>
        <w:t>(16)</w:t>
      </w:r>
      <w:r>
        <w:tab/>
      </w:r>
      <w:r>
        <w:tab/>
      </w:r>
      <w:r>
        <w:tab/>
      </w:r>
      <m:oMath>
        <m:sSub>
          <m:sSubPr>
            <m:ctrlPr>
              <w:rPr>
                <w:rFonts w:ascii="Cambria Math" w:hAnsi="Cambria Math"/>
                <w:i/>
              </w:rPr>
            </m:ctrlPr>
          </m:sSubPr>
          <m:e>
            <m:r>
              <w:rPr>
                <w:rFonts w:ascii="Cambria Math" w:hAnsi="Cambria Math"/>
              </w:rPr>
              <m:t>Gov</m:t>
            </m:r>
          </m:e>
          <m:sub>
            <m:r>
              <w:rPr>
                <w:rFonts w:ascii="Cambria Math" w:hAnsi="Cambria Math"/>
              </w:rPr>
              <m:t>j,t</m:t>
            </m:r>
          </m:sub>
        </m:sSub>
        <m:r>
          <w:rPr>
            <w:rFonts w:ascii="Cambria Math" w:hAnsi="Cambria Math"/>
          </w:rPr>
          <m:t>=</m:t>
        </m:r>
        <m:sSub>
          <m:sSubPr>
            <m:ctrlPr>
              <w:rPr>
                <w:rFonts w:ascii="Cambria Math" w:hAnsi="Cambria Math"/>
                <w:i/>
              </w:rPr>
            </m:ctrlPr>
          </m:sSubPr>
          <m:e>
            <m:r>
              <w:rPr>
                <w:rFonts w:ascii="Cambria Math" w:hAnsi="Cambria Math"/>
              </w:rPr>
              <m:t>TPop</m:t>
            </m:r>
          </m:e>
          <m:sub>
            <m:r>
              <w:rPr>
                <w:rFonts w:ascii="Cambria Math" w:hAnsi="Cambria Math"/>
              </w:rPr>
              <m:t>j,t</m:t>
            </m:r>
          </m:sub>
        </m:sSub>
        <m:r>
          <w:rPr>
            <w:rFonts w:ascii="Cambria Math" w:hAnsi="Cambria Math"/>
          </w:rPr>
          <m:t xml:space="preserve"> </m:t>
        </m:r>
        <m:sSub>
          <m:sSubPr>
            <m:ctrlPr>
              <w:rPr>
                <w:rFonts w:ascii="Cambria Math" w:hAnsi="Cambria Math"/>
                <w:i/>
              </w:rPr>
            </m:ctrlPr>
          </m:sSubPr>
          <m:e>
            <m:r>
              <w:rPr>
                <w:rFonts w:ascii="Cambria Math" w:hAnsi="Cambria Math"/>
              </w:rPr>
              <m:t>GEPC</m:t>
            </m:r>
          </m:e>
          <m:sub>
            <m:r>
              <w:rPr>
                <w:rFonts w:ascii="Cambria Math" w:hAnsi="Cambria Math"/>
              </w:rPr>
              <m:t>j</m:t>
            </m:r>
          </m:sub>
        </m:sSub>
      </m:oMath>
      <w:r w:rsidR="001944A6" w:rsidRPr="007A10C7">
        <w:fldChar w:fldCharType="begin"/>
      </w:r>
      <w:r w:rsidRPr="007A10C7">
        <w:instrText xml:space="preserve"> QUOTE </w:instrText>
      </w:r>
      <w:r w:rsidR="00A82292" w:rsidRPr="001944A6">
        <w:rPr>
          <w:position w:val="-8"/>
        </w:rPr>
        <w:pict>
          <v:shape id="_x0000_i1047" type="#_x0000_t75" style="width:126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defaultTabStop w:val=&quot;720&quot;/&gt;&lt;w:punctuationKerning/&gt;&lt;w:characterSpacingControl w:val=&quot;DontCompress&quot;/&gt;&lt;w:optimizeForBrowser/&gt;&lt;w:relyOnVML/&gt;&lt;w:allowPNG/&gt;&lt;w:doNotSaveWebPagesAsSingleFile/&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36E1F&quot;/&gt;&lt;wsp:rsid wsp:val=&quot;0000490D&quot;/&gt;&lt;wsp:rsid wsp:val=&quot;000062FC&quot;/&gt;&lt;wsp:rsid wsp:val=&quot;0001419E&quot;/&gt;&lt;wsp:rsid wsp:val=&quot;00014780&quot;/&gt;&lt;wsp:rsid wsp:val=&quot;000465A4&quot;/&gt;&lt;wsp:rsid wsp:val=&quot;000562AB&quot;/&gt;&lt;wsp:rsid wsp:val=&quot;00065E40&quot;/&gt;&lt;wsp:rsid wsp:val=&quot;0007658E&quot;/&gt;&lt;wsp:rsid wsp:val=&quot;000D68AF&quot;/&gt;&lt;wsp:rsid wsp:val=&quot;000D7ADA&quot;/&gt;&lt;wsp:rsid wsp:val=&quot;00180C33&quot;/&gt;&lt;wsp:rsid wsp:val=&quot;00192747&quot;/&gt;&lt;wsp:rsid wsp:val=&quot;001B500C&quot;/&gt;&lt;wsp:rsid wsp:val=&quot;001D1B6A&quot;/&gt;&lt;wsp:rsid wsp:val=&quot;001E7CD3&quot;/&gt;&lt;wsp:rsid wsp:val=&quot;001F773D&quot;/&gt;&lt;wsp:rsid wsp:val=&quot;00202345&quot;/&gt;&lt;wsp:rsid wsp:val=&quot;002036D6&quot;/&gt;&lt;wsp:rsid wsp:val=&quot;00204C19&quot;/&gt;&lt;wsp:rsid wsp:val=&quot;00211821&quot;/&gt;&lt;wsp:rsid wsp:val=&quot;002139D1&quot;/&gt;&lt;wsp:rsid wsp:val=&quot;00215341&quot;/&gt;&lt;wsp:rsid wsp:val=&quot;00222F49&quot;/&gt;&lt;wsp:rsid wsp:val=&quot;002319D6&quot;/&gt;&lt;wsp:rsid wsp:val=&quot;00245E06&quot;/&gt;&lt;wsp:rsid wsp:val=&quot;00247C33&quot;/&gt;&lt;wsp:rsid wsp:val=&quot;002653D7&quot;/&gt;&lt;wsp:rsid wsp:val=&quot;00277434&quot;/&gt;&lt;wsp:rsid wsp:val=&quot;0029538D&quot;/&gt;&lt;wsp:rsid wsp:val=&quot;002B325C&quot;/&gt;&lt;wsp:rsid wsp:val=&quot;002B352D&quot;/&gt;&lt;wsp:rsid wsp:val=&quot;002E5786&quot;/&gt;&lt;wsp:rsid wsp:val=&quot;00302785&quot;/&gt;&lt;wsp:rsid wsp:val=&quot;00345507&quot;/&gt;&lt;wsp:rsid wsp:val=&quot;003517E9&quot;/&gt;&lt;wsp:rsid wsp:val=&quot;00356198&quot;/&gt;&lt;wsp:rsid wsp:val=&quot;00370CD0&quot;/&gt;&lt;wsp:rsid wsp:val=&quot;003745DE&quot;/&gt;&lt;wsp:rsid wsp:val=&quot;00374A80&quot;/&gt;&lt;wsp:rsid wsp:val=&quot;003837F4&quot;/&gt;&lt;wsp:rsid wsp:val=&quot;0039079B&quot;/&gt;&lt;wsp:rsid wsp:val=&quot;003948ED&quot;/&gt;&lt;wsp:rsid wsp:val=&quot;003B1DF5&quot;/&gt;&lt;wsp:rsid wsp:val=&quot;003B62AC&quot;/&gt;&lt;wsp:rsid wsp:val=&quot;003C3DB7&quot;/&gt;&lt;wsp:rsid wsp:val=&quot;003D3138&quot;/&gt;&lt;wsp:rsid wsp:val=&quot;004038A9&quot;/&gt;&lt;wsp:rsid wsp:val=&quot;00405C75&quot;/&gt;&lt;wsp:rsid wsp:val=&quot;004310F5&quot;/&gt;&lt;wsp:rsid wsp:val=&quot;00437FB3&quot;/&gt;&lt;wsp:rsid wsp:val=&quot;004433E8&quot;/&gt;&lt;wsp:rsid wsp:val=&quot;00443567&quot;/&gt;&lt;wsp:rsid wsp:val=&quot;00451821&quot;/&gt;&lt;wsp:rsid wsp:val=&quot;004652F7&quot;/&gt;&lt;wsp:rsid wsp:val=&quot;00465B3B&quot;/&gt;&lt;wsp:rsid wsp:val=&quot;00491581&quot;/&gt;&lt;wsp:rsid wsp:val=&quot;00493A71&quot;/&gt;&lt;wsp:rsid wsp:val=&quot;004E4663&quot;/&gt;&lt;wsp:rsid wsp:val=&quot;00501A3F&quot;/&gt;&lt;wsp:rsid wsp:val=&quot;005021E8&quot;/&gt;&lt;wsp:rsid wsp:val=&quot;00541ED9&quot;/&gt;&lt;wsp:rsid wsp:val=&quot;00544FDC&quot;/&gt;&lt;wsp:rsid wsp:val=&quot;00560C0F&quot;/&gt;&lt;wsp:rsid wsp:val=&quot;00570BFD&quot;/&gt;&lt;wsp:rsid wsp:val=&quot;00575753&quot;/&gt;&lt;wsp:rsid wsp:val=&quot;00576A32&quot;/&gt;&lt;wsp:rsid wsp:val=&quot;005943A8&quot;/&gt;&lt;wsp:rsid wsp:val=&quot;005979F0&quot;/&gt;&lt;wsp:rsid wsp:val=&quot;005A4104&quot;/&gt;&lt;wsp:rsid wsp:val=&quot;005A6FC7&quot;/&gt;&lt;wsp:rsid wsp:val=&quot;005B0861&quot;/&gt;&lt;wsp:rsid wsp:val=&quot;005C03D8&quot;/&gt;&lt;wsp:rsid wsp:val=&quot;005D7FB7&quot;/&gt;&lt;wsp:rsid wsp:val=&quot;005E16B0&quot;/&gt;&lt;wsp:rsid wsp:val=&quot;005F105F&quot;/&gt;&lt;wsp:rsid wsp:val=&quot;005F10A2&quot;/&gt;&lt;wsp:rsid wsp:val=&quot;005F6F59&quot;/&gt;&lt;wsp:rsid wsp:val=&quot;006014E3&quot;/&gt;&lt;wsp:rsid wsp:val=&quot;00621FFA&quot;/&gt;&lt;wsp:rsid wsp:val=&quot;006432A2&quot;/&gt;&lt;wsp:rsid wsp:val=&quot;00645E32&quot;/&gt;&lt;wsp:rsid wsp:val=&quot;00655F1A&quot;/&gt;&lt;wsp:rsid wsp:val=&quot;00665B80&quot;/&gt;&lt;wsp:rsid wsp:val=&quot;006B5BA4&quot;/&gt;&lt;wsp:rsid wsp:val=&quot;006C116C&quot;/&gt;&lt;wsp:rsid wsp:val=&quot;006D621A&quot;/&gt;&lt;wsp:rsid wsp:val=&quot;006E4D35&quot;/&gt;&lt;wsp:rsid wsp:val=&quot;00706E55&quot;/&gt;&lt;wsp:rsid wsp:val=&quot;00722738&quot;/&gt;&lt;wsp:rsid wsp:val=&quot;00750FE5&quot;/&gt;&lt;wsp:rsid wsp:val=&quot;007731D4&quot;/&gt;&lt;wsp:rsid wsp:val=&quot;00777A72&quot;/&gt;&lt;wsp:rsid wsp:val=&quot;007A10C7&quot;/&gt;&lt;wsp:rsid wsp:val=&quot;007C4977&quot;/&gt;&lt;wsp:rsid wsp:val=&quot;007D76C9&quot;/&gt;&lt;wsp:rsid wsp:val=&quot;007D7A5E&quot;/&gt;&lt;wsp:rsid wsp:val=&quot;007E72BD&quot;/&gt;&lt;wsp:rsid wsp:val=&quot;00811CBC&quot;/&gt;&lt;wsp:rsid wsp:val=&quot;00814BAD&quot;/&gt;&lt;wsp:rsid wsp:val=&quot;00824B47&quot;/&gt;&lt;wsp:rsid wsp:val=&quot;00825180&quot;/&gt;&lt;wsp:rsid wsp:val=&quot;00833CDB&quot;/&gt;&lt;wsp:rsid wsp:val=&quot;008437DB&quot;/&gt;&lt;wsp:rsid wsp:val=&quot;00846044&quot;/&gt;&lt;wsp:rsid wsp:val=&quot;008473EE&quot;/&gt;&lt;wsp:rsid wsp:val=&quot;00855B09&quot;/&gt;&lt;wsp:rsid wsp:val=&quot;00855F54&quot;/&gt;&lt;wsp:rsid wsp:val=&quot;00864C6D&quot;/&gt;&lt;wsp:rsid wsp:val=&quot;008827A5&quot;/&gt;&lt;wsp:rsid wsp:val=&quot;00886CD6&quot;/&gt;&lt;wsp:rsid wsp:val=&quot;008B5B6F&quot;/&gt;&lt;wsp:rsid wsp:val=&quot;008D7F87&quot;/&gt;&lt;wsp:rsid wsp:val=&quot;008E0637&quot;/&gt;&lt;wsp:rsid wsp:val=&quot;008E4BC6&quot;/&gt;&lt;wsp:rsid wsp:val=&quot;008F0C9F&quot;/&gt;&lt;wsp:rsid wsp:val=&quot;008F12A4&quot;/&gt;&lt;wsp:rsid wsp:val=&quot;009049AC&quot;/&gt;&lt;wsp:rsid wsp:val=&quot;00907FA2&quot;/&gt;&lt;wsp:rsid wsp:val=&quot;00913AFE&quot;/&gt;&lt;wsp:rsid wsp:val=&quot;0092685C&quot;/&gt;&lt;wsp:rsid wsp:val=&quot;00931BF2&quot;/&gt;&lt;wsp:rsid wsp:val=&quot;009361D2&quot;/&gt;&lt;wsp:rsid wsp:val=&quot;0095190A&quot;/&gt;&lt;wsp:rsid wsp:val=&quot;00951C0C&quot;/&gt;&lt;wsp:rsid wsp:val=&quot;009643F8&quot;/&gt;&lt;wsp:rsid wsp:val=&quot;00987DF2&quot;/&gt;&lt;wsp:rsid wsp:val=&quot;009C349A&quot;/&gt;&lt;wsp:rsid wsp:val=&quot;009D3BFC&quot;/&gt;&lt;wsp:rsid wsp:val=&quot;009F2927&quot;/&gt;&lt;wsp:rsid wsp:val=&quot;00A006DA&quot;/&gt;&lt;wsp:rsid wsp:val=&quot;00A01711&quot;/&gt;&lt;wsp:rsid wsp:val=&quot;00A04589&quot;/&gt;&lt;wsp:rsid wsp:val=&quot;00A06425&quot;/&gt;&lt;wsp:rsid wsp:val=&quot;00A1127B&quot;/&gt;&lt;wsp:rsid wsp:val=&quot;00A234FD&quot;/&gt;&lt;wsp:rsid wsp:val=&quot;00A323A4&quot;/&gt;&lt;wsp:rsid wsp:val=&quot;00A36EDB&quot;/&gt;&lt;wsp:rsid wsp:val=&quot;00A443D8&quot;/&gt;&lt;wsp:rsid wsp:val=&quot;00A458B5&quot;/&gt;&lt;wsp:rsid wsp:val=&quot;00A52501&quot;/&gt;&lt;wsp:rsid wsp:val=&quot;00A63D18&quot;/&gt;&lt;wsp:rsid wsp:val=&quot;00A64FE2&quot;/&gt;&lt;wsp:rsid wsp:val=&quot;00AD2DA2&quot;/&gt;&lt;wsp:rsid wsp:val=&quot;00AD2E72&quot;/&gt;&lt;wsp:rsid wsp:val=&quot;00AE3DCD&quot;/&gt;&lt;wsp:rsid wsp:val=&quot;00B06931&quot;/&gt;&lt;wsp:rsid wsp:val=&quot;00B14506&quot;/&gt;&lt;wsp:rsid wsp:val=&quot;00B2249E&quot;/&gt;&lt;wsp:rsid wsp:val=&quot;00B30B1B&quot;/&gt;&lt;wsp:rsid wsp:val=&quot;00B37D00&quot;/&gt;&lt;wsp:rsid wsp:val=&quot;00B57E8C&quot;/&gt;&lt;wsp:rsid wsp:val=&quot;00B60BDE&quot;/&gt;&lt;wsp:rsid wsp:val=&quot;00B9252E&quot;/&gt;&lt;wsp:rsid wsp:val=&quot;00BA691F&quot;/&gt;&lt;wsp:rsid wsp:val=&quot;00BB78BD&quot;/&gt;&lt;wsp:rsid wsp:val=&quot;00BC552A&quot;/&gt;&lt;wsp:rsid wsp:val=&quot;00BD14AA&quot;/&gt;&lt;wsp:rsid wsp:val=&quot;00BE2945&quot;/&gt;&lt;wsp:rsid wsp:val=&quot;00C309CA&quot;/&gt;&lt;wsp:rsid wsp:val=&quot;00C340D2&quot;/&gt;&lt;wsp:rsid wsp:val=&quot;00C3739C&quot;/&gt;&lt;wsp:rsid wsp:val=&quot;00C45EBE&quot;/&gt;&lt;wsp:rsid wsp:val=&quot;00C513AB&quot;/&gt;&lt;wsp:rsid wsp:val=&quot;00C612E3&quot;/&gt;&lt;wsp:rsid wsp:val=&quot;00C62F84&quot;/&gt;&lt;wsp:rsid wsp:val=&quot;00C73463&quot;/&gt;&lt;wsp:rsid wsp:val=&quot;00C84CFD&quot;/&gt;&lt;wsp:rsid wsp:val=&quot;00C8539C&quot;/&gt;&lt;wsp:rsid wsp:val=&quot;00C9457D&quot;/&gt;&lt;wsp:rsid wsp:val=&quot;00CA2E48&quot;/&gt;&lt;wsp:rsid wsp:val=&quot;00CB47D6&quot;/&gt;&lt;wsp:rsid wsp:val=&quot;00CC2A4D&quot;/&gt;&lt;wsp:rsid wsp:val=&quot;00CF775D&quot;/&gt;&lt;wsp:rsid wsp:val=&quot;00D31591&quot;/&gt;&lt;wsp:rsid wsp:val=&quot;00D36E1F&quot;/&gt;&lt;wsp:rsid wsp:val=&quot;00D37163&quot;/&gt;&lt;wsp:rsid wsp:val=&quot;00D4466D&quot;/&gt;&lt;wsp:rsid wsp:val=&quot;00D71F59&quot;/&gt;&lt;wsp:rsid wsp:val=&quot;00D770DB&quot;/&gt;&lt;wsp:rsid wsp:val=&quot;00D80CF9&quot;/&gt;&lt;wsp:rsid wsp:val=&quot;00D82824&quot;/&gt;&lt;wsp:rsid wsp:val=&quot;00D91524&quot;/&gt;&lt;wsp:rsid wsp:val=&quot;00D9479A&quot;/&gt;&lt;wsp:rsid wsp:val=&quot;00DA679D&quot;/&gt;&lt;wsp:rsid wsp:val=&quot;00DA6A62&quot;/&gt;&lt;wsp:rsid wsp:val=&quot;00DB41C3&quot;/&gt;&lt;wsp:rsid wsp:val=&quot;00DD7F5C&quot;/&gt;&lt;wsp:rsid wsp:val=&quot;00DE568C&quot;/&gt;&lt;wsp:rsid wsp:val=&quot;00DF3E16&quot;/&gt;&lt;wsp:rsid wsp:val=&quot;00E01469&quot;/&gt;&lt;wsp:rsid wsp:val=&quot;00E1471D&quot;/&gt;&lt;wsp:rsid wsp:val=&quot;00E149C4&quot;/&gt;&lt;wsp:rsid wsp:val=&quot;00E26B1B&quot;/&gt;&lt;wsp:rsid wsp:val=&quot;00E32DEE&quot;/&gt;&lt;wsp:rsid wsp:val=&quot;00E34D8F&quot;/&gt;&lt;wsp:rsid wsp:val=&quot;00E7186C&quot;/&gt;&lt;wsp:rsid wsp:val=&quot;00EB1680&quot;/&gt;&lt;wsp:rsid wsp:val=&quot;00EB544A&quot;/&gt;&lt;wsp:rsid wsp:val=&quot;00EC0634&quot;/&gt;&lt;wsp:rsid wsp:val=&quot;00ED385C&quot;/&gt;&lt;wsp:rsid wsp:val=&quot;00ED5403&quot;/&gt;&lt;wsp:rsid wsp:val=&quot;00EE67F6&quot;/&gt;&lt;wsp:rsid wsp:val=&quot;00EF0B8C&quot;/&gt;&lt;wsp:rsid wsp:val=&quot;00EF1B81&quot;/&gt;&lt;wsp:rsid wsp:val=&quot;00EF4594&quot;/&gt;&lt;wsp:rsid wsp:val=&quot;00F007FB&quot;/&gt;&lt;wsp:rsid wsp:val=&quot;00F03E0E&quot;/&gt;&lt;wsp:rsid wsp:val=&quot;00F355ED&quot;/&gt;&lt;wsp:rsid wsp:val=&quot;00F53366&quot;/&gt;&lt;wsp:rsid wsp:val=&quot;00F5454A&quot;/&gt;&lt;wsp:rsid wsp:val=&quot;00F63C84&quot;/&gt;&lt;wsp:rsid wsp:val=&quot;00F66FF7&quot;/&gt;&lt;wsp:rsid wsp:val=&quot;00F74BBB&quot;/&gt;&lt;wsp:rsid wsp:val=&quot;00F77477&quot;/&gt;&lt;wsp:rsid wsp:val=&quot;00F808D4&quot;/&gt;&lt;wsp:rsid wsp:val=&quot;00F8484A&quot;/&gt;&lt;wsp:rsid wsp:val=&quot;00F85409&quot;/&gt;&lt;wsp:rsid wsp:val=&quot;00F87985&quot;/&gt;&lt;wsp:rsid wsp:val=&quot;00F97549&quot;/&gt;&lt;wsp:rsid wsp:val=&quot;00FA5F2E&quot;/&gt;&lt;wsp:rsid wsp:val=&quot;00FD036E&quot;/&gt;&lt;wsp:rsid wsp:val=&quot;00FD0BB3&quot;/&gt;&lt;wsp:rsid wsp:val=&quot;00FD0F2C&quot;/&gt;&lt;wsp:rsid wsp:val=&quot;00FE5B07&quot;/&gt;&lt;wsp:rsid wsp:val=&quot;00FE764B&quot;/&gt;&lt;wsp:rsid wsp:val=&quot;00FF653A&quot;/&gt;&lt;wsp:rsid wsp:val=&quot;00FF7C1E&quot;/&gt;&lt;/wsp:rsids&gt;&lt;/w:docPr&gt;&lt;w:body&gt;&lt;wx:sect&gt;&lt;w:p wsp:rsidR=&quot;00000000&quot; wsp:rsidRDefault=&quot;00374A80&quot; wsp:rsidP=&quot;00374A80&quot;&gt;&lt;m:oMathPara&gt;&lt;m:oMath&gt;&lt;m:sSub&gt;&lt;m:sSubPr&gt;&lt;m:ctrlPr&gt;&lt;aml:annotation aml:id=&quot;0&quot; w:type=&quot;Word.Insertion&quot; aml:author=&quot;Katerina Lisenkova&quot; aml:createdate=&quot;2012-08-29T18:01:00Z&quot;&gt;&lt;aml:content&gt;&lt;w:rPr&gt;&lt;w:rFonts w:ascii=&quot;Cambria Math&quot; w:h-ansi=&quot;Cambria Math&quot;/&gt;&lt;wx:font wx:val=&quot;Cambria Math&quot;/&gt;&lt;w:i/&gt;&lt;/w:rPr&gt;&lt;/aml:content&gt;&lt;/aml:annotation&gt;&lt;/m:ctrlPr&gt;&lt;/m:sSubPr&gt;&lt;m:e&gt;&lt;aml:annotation aml:id=&quot;1&quot; w:type=&quot;Word.Insertion&quot; aml:author=&quot;Katerina Lisenkova&quot; aml:createdate=&quot;2012-08-29T18:01:00Z&quot;&gt;&lt;aml:content&gt;&lt;m:r&gt;&lt;w:rPr&gt;&lt;w:rFonts w:ascii=&quot;Cambria Math&quot; w:h-ansi=&quot;Cambria Math&quot;/&gt;&lt;wx:font wx:val=&quot;Cambria Math&quot;/&gt;&lt;w:i/&gt;&lt;/w:rPr&gt;&lt;m:t&gt;Gov&lt;/m:t&gt;&lt;/m:r&gt;&lt;/aml:content&gt;&lt;/aml:annotation&gt;&lt;/m:e&gt;&lt;m:sub&gt;&lt;aml:annotation aml:id=&quot;2&quot; w:type=&quot;Word.Insertion&quot; aml:author=&quot;Katerina Lisenkova&quot; aml:createdate=&quot;2012-08-29T18:01:00Z&quot;&gt;&lt;aml:content&gt;&lt;m:r&gt;&lt;w:rPr&gt;&lt;w:rFonts w:ascii=&quot;Cambria Math&quot; w:h-ansi=&quot;Cambria Math&quot;/&gt;&lt;wx:font wx:val=&quot;Cambria Math&quot;/&gt;&lt;w:i/&gt;&lt;/w:rPr&gt;&lt;m:t&gt;j,t&lt;/m:t&gt;&lt;/m:r&gt;&lt;/aml:content&gt;&lt;/aml:annotation&gt;&lt;/m:sub&gt;&lt;/m:sSub&gt;&lt;aml:annotation aml:id=&quot;3&quot; w:type=&quot;Word.Insertion&quot; aml:author=&quot;Katerina Lisenkova&quot; aml:createdate=&quot;2012-08-29T18:01:00Z&quot;&gt;&lt;aml:content&gt;&lt;m:r&gt;&lt;w:rPr&gt;&lt;w:rFonts w:ascii=&quot;Cambria Math&quot; w:h-ansi=&quot;Cambria Math&quot;/&gt;&lt;wx:font wx:val=&quot;Cambria Math&quot;/&gt;&lt;w:i/&gt;&lt;/w:rPr&gt;&lt;m:t&gt;= &lt;/m:t&gt;&lt;/m:r&gt;&lt;/aml:content&gt;&lt;/aml:annotation&gt;&lt;m:sSub&gt;&lt;m:sSubPr&gt;&lt;m:ctrlPr&gt;&lt;aml:annotation aml:id=&quot;4&quot; w:type=&quot;Word.Insertion&quot; aml:author=&quot;Katerina Lisenkova&quot; aml:createdate=&quot;2012-08-29T18:02:00Z&quot;&gt;&lt;aml:content&gt;&lt;w:rPr&gt;&lt;w:rFonts w:ascii=&quot;Cambria Math&quot; w:h-ansi=&quot;Cambria Math&quot;/&gt;&lt;wx:font wx:val=&quot;Cambria Math&quot;/&gt;&lt;w:i/&gt;&lt;/w:rPr&gt;&lt;/aml:content&gt;&lt;/aml:annotation&gt;&lt;/m:ctrlPr&gt;&lt;/m:sSubPr&gt;&lt;m:e&gt;&lt;aml:annotation aml:id=&quot;5&quot; w:type=&quot;Word.Insertion&quot; aml:author=&quot;Katerina Lisenkova&quot; aml:createdate=&quot;2012-08-29T18:02:00Z&quot;&gt;&lt;aml:content&gt;&lt;m:r&gt;&lt;w:rPr&gt;&lt;w:rFonts w:ascii=&quot;Cambria Math&quot; w:h-ansi=&quot;Cambria Math&quot;/&gt;&lt;wx:font wx:val=&quot;Cambria Math&quot;/&gt;&lt;w:i/&gt;&lt;/w:rPr&gt;&lt;m:t&gt;TPop&lt;/m:t&gt;&lt;/m:r&gt;&lt;/aml:content&gt;&lt;/aml:annotation&gt;&lt;/m:e&gt;&lt;m:sub&gt;&lt;aml:annotation aml:id=&quot;6&quot; w:type=&quot;Word.Insertion&quot; aml:author=&quot;Katerina Lisenkova&quot; aml:createdate=&quot;2012-08-29T18:02:00Z&quot;&gt;&lt;aml:content&gt;&lt;m:r&gt;&lt;w:rPr&gt;&lt;w:rFonts w:ascii=&quot;Cambria Math&quot; w:h-ansi=&quot;Cambria Math&quot;/&gt;&lt;wx:font wx:val=&quot;Cambria Math&quot;/&gt;&lt;w:i/&gt;&lt;/w:rPr&gt;&lt;m:t&gt;j,t&lt;/m:t&gt;&lt;/m:r&gt;&lt;/aml:content&gt;&lt;/aml:annotation&gt;&lt;/m:sub&gt;&lt;/m:sSub&gt;&lt;aml:annotation aml:id=&quot;7&quot; w:type=&quot;Word.Insertion&quot; aml:author=&quot;Katerina Lisenkova&quot; aml:createdate=&quot;2012-08-29T18:02:00Z&quot;&gt;&lt;aml:content&gt;&lt;m:r&gt;&lt;w:rPr&gt;&lt;w:rFonts w:ascii=&quot;Cambria Math&quot; w:h-ansi=&quot;Cambria Math&quot;/&gt;&lt;wx:font wx:val=&quot;Cambria Math&quot;/&gt;&lt;w:i/&gt;&lt;/w:rPr&gt;&lt;m:t&gt; &lt;/m:t&gt;&lt;/m:r&gt;&lt;/aml:content&gt;&lt;/aml:annotation&gt;&lt;m:sSub&gt;&lt;m:sSubPr&gt;&lt;m:ctrlPr&gt;&lt;aml:annotation aml:id=&quot;8&quot; w:type=&quot;Word.Insertion&quot; aml:author=&quot;Katerina Lisenkova&quot; aml:createdate=&quot;2012-08-29T18:02:00Z&quot;&gt;&lt;aml:content&gt;&lt;w:rPr&gt;&lt;w:rFonts w:ascii=&quot;Cambria Math&quot; w:h-ansi=&quot;Cambria Math&quot;/&gt;&lt;wx:font wx:val=&quot;Cambria Math&quot;/&gt;&lt;w:i/&gt;&lt;/w:rPr&gt;&lt;/aml:content&gt;&lt;/aml:annotation&gt;&lt;/m:ctrlPr&gt;&lt;/m:sSubPr&gt;&lt;m:e&gt;&lt;aml:annotation aml:id=&quot;9&quot; w:type=&quot;Word.Insertion&quot; aml:author=&quot;Katerina Lisenkova&quot; aml:createdate=&quot;2012-08-29T18:02:00Z&quot;&gt;&lt;aml:content&gt;&lt;m:r&gt;&lt;w:rPr&gt;&lt;w:rFonts w:ascii=&quot;Cambria Math&quot; w:h-ansi=&quot;Cambria Math&quot;/&gt;&lt;wx:font wx:val=&quot;Cambria Math&quot;/&gt;&lt;w:i/&gt;&lt;/w:rPr&gt;&lt;m:t&gt;GEPC&lt;/m:t&gt;&lt;/m:r&gt;&lt;/aml:content&gt;&lt;/aml:annotation&gt;&lt;/m:e&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63" o:title="" chromakey="white"/>
          </v:shape>
        </w:pict>
      </w:r>
      <w:r w:rsidRPr="007A10C7">
        <w:instrText xml:space="preserve"> </w:instrText>
      </w:r>
      <w:r w:rsidR="001944A6" w:rsidRPr="007A10C7">
        <w:fldChar w:fldCharType="separate"/>
      </w:r>
      <w:r w:rsidR="001944A6" w:rsidRPr="007A10C7">
        <w:fldChar w:fldCharType="end"/>
      </w:r>
    </w:p>
    <w:p w:rsidR="00655F1A" w:rsidRDefault="00655F1A" w:rsidP="00825180">
      <w:pPr>
        <w:spacing w:line="480" w:lineRule="auto"/>
        <w:jc w:val="both"/>
        <w:rPr>
          <w:b/>
        </w:rPr>
      </w:pPr>
    </w:p>
    <w:p w:rsidR="00DA6A62" w:rsidRPr="00405C75" w:rsidRDefault="00DA6A62" w:rsidP="00825180">
      <w:pPr>
        <w:spacing w:line="480" w:lineRule="auto"/>
        <w:jc w:val="both"/>
      </w:pPr>
      <w:r w:rsidRPr="00405C75">
        <w:rPr>
          <w:b/>
        </w:rPr>
        <w:t xml:space="preserve">2.5 Market and Aggregation Conditions  </w:t>
      </w:r>
    </w:p>
    <w:p w:rsidR="00DA6A62" w:rsidRDefault="00DA6A62" w:rsidP="00825180">
      <w:pPr>
        <w:spacing w:line="480" w:lineRule="auto"/>
        <w:ind w:firstLine="720"/>
        <w:jc w:val="both"/>
      </w:pPr>
      <w:r>
        <w:t xml:space="preserve">The model assumes that all markets are perfectly competitive. The equilibrium condition for the goods market is that Scotland’s output, added to return on foreign </w:t>
      </w:r>
      <w:r>
        <w:lastRenderedPageBreak/>
        <w:t>assets</w:t>
      </w:r>
      <w:r w:rsidR="00F87985">
        <w:t xml:space="preserve"> (FA)</w:t>
      </w:r>
      <w:r>
        <w:t xml:space="preserve"> and transfers from RUK must be equal to total demand originating </w:t>
      </w:r>
      <w:r w:rsidR="00F87985">
        <w:t xml:space="preserve">from </w:t>
      </w:r>
      <w:r>
        <w:t>consumption, investment and government spending:</w:t>
      </w:r>
    </w:p>
    <w:p w:rsidR="00B465DB" w:rsidRDefault="00DA6A62" w:rsidP="00825180">
      <w:pPr>
        <w:spacing w:line="480" w:lineRule="auto"/>
        <w:jc w:val="both"/>
      </w:pPr>
      <w:r>
        <w:t>(1</w:t>
      </w:r>
      <w:r w:rsidR="004D1AFD">
        <w:t>7</w:t>
      </w:r>
      <w:r>
        <w:t>)</w:t>
      </w:r>
    </w:p>
    <w:p w:rsidR="00DA6A62" w:rsidRDefault="00B465DB" w:rsidP="00825180">
      <w:pPr>
        <w:spacing w:line="480" w:lineRule="auto"/>
        <w:jc w:val="both"/>
      </w:pPr>
      <w:r w:rsidRPr="009E2C71">
        <w:rPr>
          <w:position w:val="-30"/>
        </w:rPr>
        <w:object w:dxaOrig="7720" w:dyaOrig="560">
          <v:shape id="_x0000_i1058" type="#_x0000_t75" style="width:386.25pt;height:29.25pt" o:ole="" fillcolor="window">
            <v:imagedata r:id="rId64" o:title=""/>
          </v:shape>
          <o:OLEObject Type="Embed" ProgID="Equation.3" ShapeID="_x0000_i1058" DrawAspect="Content" ObjectID="_1408263067" r:id="rId65"/>
        </w:object>
      </w:r>
      <w:r w:rsidR="00DA6A62">
        <w:t xml:space="preserve">Labour and physical </w:t>
      </w:r>
      <w:proofErr w:type="gramStart"/>
      <w:r w:rsidR="00DA6A62">
        <w:t>capital are</w:t>
      </w:r>
      <w:proofErr w:type="gramEnd"/>
      <w:r w:rsidR="00DA6A62">
        <w:t xml:space="preserve"> immobile across regions, so a market exists for these two production factors in each region. The demand for labour of a specific skill is equal to the supply of this skill:  </w:t>
      </w:r>
    </w:p>
    <w:p w:rsidR="00DA6A62" w:rsidRDefault="00DA6A62" w:rsidP="00825180">
      <w:pPr>
        <w:spacing w:line="480" w:lineRule="auto"/>
        <w:jc w:val="both"/>
      </w:pPr>
      <w:r>
        <w:t>(1</w:t>
      </w:r>
      <w:r w:rsidR="004D1AFD">
        <w:t>8</w:t>
      </w:r>
      <w:r>
        <w:t>)</w:t>
      </w:r>
      <w:r>
        <w:tab/>
      </w:r>
      <w:r>
        <w:tab/>
      </w:r>
      <w:r>
        <w:tab/>
      </w:r>
      <w:r w:rsidRPr="00A80AB9">
        <w:rPr>
          <w:position w:val="-30"/>
        </w:rPr>
        <w:object w:dxaOrig="3620" w:dyaOrig="560">
          <v:shape id="_x0000_i1048" type="#_x0000_t75" style="width:182.25pt;height:29.25pt" o:ole="">
            <v:imagedata r:id="rId66" o:title=""/>
          </v:shape>
          <o:OLEObject Type="Embed" ProgID="Equation.3" ShapeID="_x0000_i1048" DrawAspect="Content" ObjectID="_1408263068" r:id="rId67"/>
        </w:object>
      </w:r>
    </w:p>
    <w:p w:rsidR="00DA6A62" w:rsidRDefault="00DA6A62" w:rsidP="00825180">
      <w:pPr>
        <w:spacing w:line="480" w:lineRule="auto"/>
        <w:jc w:val="both"/>
      </w:pPr>
      <w:proofErr w:type="gramStart"/>
      <w:r>
        <w:t>and</w:t>
      </w:r>
      <w:proofErr w:type="gramEnd"/>
      <w:r>
        <w:t xml:space="preserve"> the stock of capital accumulated at a point in time in period </w:t>
      </w:r>
      <w:r w:rsidRPr="0077385C">
        <w:rPr>
          <w:i/>
        </w:rPr>
        <w:t>t</w:t>
      </w:r>
      <w:r>
        <w:t xml:space="preserve"> in </w:t>
      </w:r>
      <w:r w:rsidR="00B9252E">
        <w:t xml:space="preserve">region </w:t>
      </w:r>
      <w:r>
        <w:rPr>
          <w:i/>
        </w:rPr>
        <w:t>j</w:t>
      </w:r>
      <w:r>
        <w:t xml:space="preserve"> is equal to the demand expressed by firms: </w:t>
      </w:r>
    </w:p>
    <w:p w:rsidR="006B5BA4" w:rsidRDefault="00DA6A62" w:rsidP="00825180">
      <w:pPr>
        <w:spacing w:line="480" w:lineRule="auto"/>
        <w:jc w:val="both"/>
      </w:pPr>
      <w:r>
        <w:t>(1</w:t>
      </w:r>
      <w:r w:rsidR="004D1AFD">
        <w:t>9</w:t>
      </w:r>
      <w:r>
        <w:t>)</w:t>
      </w:r>
      <w:r>
        <w:tab/>
      </w:r>
      <w:r>
        <w:tab/>
      </w:r>
      <w:r>
        <w:tab/>
      </w:r>
      <w:r>
        <w:tab/>
      </w:r>
      <w:r w:rsidRPr="0077385C">
        <w:rPr>
          <w:position w:val="-14"/>
        </w:rPr>
        <w:object w:dxaOrig="1560" w:dyaOrig="380">
          <v:shape id="_x0000_i1049" type="#_x0000_t75" style="width:78.75pt;height:18.75pt" o:ole="">
            <v:imagedata r:id="rId68" o:title=""/>
          </v:shape>
          <o:OLEObject Type="Embed" ProgID="Equation.3" ShapeID="_x0000_i1049" DrawAspect="Content" ObjectID="_1408263069" r:id="rId69"/>
        </w:object>
      </w:r>
    </w:p>
    <w:p w:rsidR="00DA6A62" w:rsidRDefault="00DA6A62" w:rsidP="00825180">
      <w:pPr>
        <w:spacing w:line="480" w:lineRule="auto"/>
        <w:ind w:firstLine="720"/>
        <w:jc w:val="both"/>
      </w:pPr>
      <w:r>
        <w:t xml:space="preserve">The capital market must be in equilibrium, that is, the </w:t>
      </w:r>
      <w:r w:rsidR="00F87985">
        <w:t xml:space="preserve">total </w:t>
      </w:r>
      <w:r>
        <w:t xml:space="preserve">stock of </w:t>
      </w:r>
      <w:r w:rsidR="007C4977">
        <w:t xml:space="preserve">private </w:t>
      </w:r>
      <w:r>
        <w:t>wealth (</w:t>
      </w:r>
      <w:r>
        <w:rPr>
          <w:i/>
          <w:iCs/>
        </w:rPr>
        <w:t>Lend</w:t>
      </w:r>
      <w:r>
        <w:t xml:space="preserve">) </w:t>
      </w:r>
      <w:r w:rsidR="007C4977">
        <w:t>and government assets (</w:t>
      </w:r>
      <w:r w:rsidR="007C4977" w:rsidRPr="008D7F87">
        <w:rPr>
          <w:i/>
        </w:rPr>
        <w:t>GA</w:t>
      </w:r>
      <w:r w:rsidR="007C4977">
        <w:t xml:space="preserve">) </w:t>
      </w:r>
      <w:r>
        <w:t xml:space="preserve">accumulated at </w:t>
      </w:r>
      <w:r w:rsidR="007C4977">
        <w:t xml:space="preserve">the </w:t>
      </w:r>
      <w:r>
        <w:t xml:space="preserve">end of period </w:t>
      </w:r>
      <w:r w:rsidRPr="00215789">
        <w:rPr>
          <w:i/>
        </w:rPr>
        <w:t>t</w:t>
      </w:r>
      <w:r>
        <w:t xml:space="preserve"> must be equal to the value of the </w:t>
      </w:r>
      <w:r w:rsidR="00F87985">
        <w:t xml:space="preserve">total </w:t>
      </w:r>
      <w:r>
        <w:t xml:space="preserve">stock of capital </w:t>
      </w:r>
      <w:r w:rsidR="007C4977">
        <w:t>and foreign assets</w:t>
      </w:r>
      <w:r>
        <w:t xml:space="preserve"> at </w:t>
      </w:r>
      <w:r w:rsidR="007C4977">
        <w:t xml:space="preserve">the </w:t>
      </w:r>
      <w:r>
        <w:t xml:space="preserve">end of </w:t>
      </w:r>
      <w:r w:rsidRPr="00215789">
        <w:rPr>
          <w:i/>
        </w:rPr>
        <w:t>t</w:t>
      </w:r>
      <w:r>
        <w:t xml:space="preserve">: </w:t>
      </w:r>
    </w:p>
    <w:p w:rsidR="00DA6A62" w:rsidRDefault="004D1AFD" w:rsidP="00825180">
      <w:pPr>
        <w:spacing w:line="480" w:lineRule="auto"/>
        <w:jc w:val="both"/>
      </w:pPr>
      <w:r>
        <w:t>(20</w:t>
      </w:r>
      <w:r w:rsidR="00DA6A62">
        <w:t>)</w:t>
      </w:r>
      <w:r w:rsidR="00DA6A62">
        <w:tab/>
      </w:r>
      <w:r w:rsidR="00DA6A62">
        <w:tab/>
      </w:r>
      <w:r w:rsidR="00DA6A62" w:rsidRPr="00E40E9A">
        <w:rPr>
          <w:position w:val="-30"/>
        </w:rPr>
        <w:object w:dxaOrig="4980" w:dyaOrig="560">
          <v:shape id="_x0000_i1050" type="#_x0000_t75" style="width:249pt;height:29.25pt" o:ole="" fillcolor="window">
            <v:imagedata r:id="rId70" o:title=""/>
          </v:shape>
          <o:OLEObject Type="Embed" ProgID="Equation.3" ShapeID="_x0000_i1050" DrawAspect="Content" ObjectID="_1408263070" r:id="rId71"/>
        </w:object>
      </w:r>
      <w:r w:rsidR="00DA6A62">
        <w:t xml:space="preserve">  </w:t>
      </w:r>
    </w:p>
    <w:p w:rsidR="00C9457D" w:rsidRDefault="00DA6A62" w:rsidP="00825180">
      <w:pPr>
        <w:spacing w:line="480" w:lineRule="auto"/>
        <w:jc w:val="both"/>
        <w:rPr>
          <w:rFonts w:ascii="TimesNewRomanPS-BoldMT" w:hAnsi="TimesNewRomanPS-BoldMT" w:cs="TimesNewRomanPS-BoldMT"/>
          <w:bCs/>
        </w:rPr>
      </w:pPr>
      <w:r>
        <w:rPr>
          <w:rFonts w:ascii="TimesNewRomanPS-BoldMT" w:hAnsi="TimesNewRomanPS-BoldMT" w:cs="TimesNewRomanPS-BoldMT"/>
          <w:bCs/>
        </w:rPr>
        <w:t xml:space="preserve">Note that the current account of </w:t>
      </w:r>
      <w:r w:rsidR="00B9252E">
        <w:rPr>
          <w:rFonts w:ascii="TimesNewRomanPS-BoldMT" w:hAnsi="TimesNewRomanPS-BoldMT" w:cs="TimesNewRomanPS-BoldMT"/>
          <w:bCs/>
        </w:rPr>
        <w:t xml:space="preserve">region </w:t>
      </w:r>
      <w:r w:rsidRPr="00B63CEF">
        <w:rPr>
          <w:rFonts w:ascii="TimesNewRomanPS-BoldMT" w:hAnsi="TimesNewRomanPS-BoldMT" w:cs="TimesNewRomanPS-BoldMT"/>
          <w:bCs/>
          <w:i/>
        </w:rPr>
        <w:t>j</w:t>
      </w:r>
      <w:r>
        <w:rPr>
          <w:rFonts w:ascii="TimesNewRomanPS-BoldMT" w:hAnsi="TimesNewRomanPS-BoldMT" w:cs="TimesNewRomanPS-BoldMT"/>
          <w:bCs/>
        </w:rPr>
        <w:t xml:space="preserve"> can be derived from this model as the difference between national savings and domestic investment:   </w:t>
      </w:r>
    </w:p>
    <w:p w:rsidR="00DA6A62" w:rsidRDefault="004D1AFD" w:rsidP="00825180">
      <w:pPr>
        <w:spacing w:line="480" w:lineRule="auto"/>
        <w:jc w:val="both"/>
      </w:pPr>
      <w:r>
        <w:rPr>
          <w:rFonts w:ascii="TimesNewRomanPS-BoldMT" w:hAnsi="TimesNewRomanPS-BoldMT" w:cs="TimesNewRomanPS-BoldMT"/>
          <w:bCs/>
        </w:rPr>
        <w:t>(21</w:t>
      </w:r>
      <w:r w:rsidR="00C9457D">
        <w:rPr>
          <w:rFonts w:ascii="TimesNewRomanPS-BoldMT" w:hAnsi="TimesNewRomanPS-BoldMT" w:cs="TimesNewRomanPS-BoldMT"/>
          <w:bCs/>
        </w:rPr>
        <w:t>)</w:t>
      </w:r>
      <w:r w:rsidR="00DA6A62" w:rsidRPr="00C668BB">
        <w:rPr>
          <w:position w:val="-60"/>
        </w:rPr>
        <w:object w:dxaOrig="8180" w:dyaOrig="1040">
          <v:shape id="_x0000_i1051" type="#_x0000_t75" style="width:399pt;height:50.25pt" o:ole="">
            <v:imagedata r:id="rId72" o:title=""/>
          </v:shape>
          <o:OLEObject Type="Embed" ProgID="Equation.3" ShapeID="_x0000_i1051" DrawAspect="Content" ObjectID="_1408263071" r:id="rId73"/>
        </w:object>
      </w:r>
    </w:p>
    <w:p w:rsidR="00DB6C9F" w:rsidRDefault="00DA6A62" w:rsidP="00DB6C9F">
      <w:pPr>
        <w:spacing w:line="480" w:lineRule="auto"/>
        <w:jc w:val="both"/>
        <w:rPr>
          <w:rFonts w:ascii="TimesNewRomanPS-BoldMT" w:hAnsi="TimesNewRomanPS-BoldMT" w:cs="TimesNewRomanPS-BoldMT"/>
          <w:bCs/>
        </w:rPr>
      </w:pPr>
      <w:r>
        <w:rPr>
          <w:rFonts w:ascii="TimesNewRomanPS-BoldMT" w:hAnsi="TimesNewRomanPS-BoldMT" w:cs="TimesNewRomanPS-BoldMT"/>
          <w:bCs/>
        </w:rPr>
        <w:t xml:space="preserve">Alternatively, the current account is either given as the trade balance plus the interest revenues from net foreign assets holdings, or as the difference between nominal GNP (GDP including interest revenues on net foreign assets) and domestic absorption. </w:t>
      </w:r>
    </w:p>
    <w:p w:rsidR="00CC793F" w:rsidRDefault="00CC793F" w:rsidP="00DB6C9F">
      <w:pPr>
        <w:spacing w:line="480" w:lineRule="auto"/>
        <w:jc w:val="both"/>
        <w:rPr>
          <w:rFonts w:ascii="TimesNewRomanPS-BoldMT" w:hAnsi="TimesNewRomanPS-BoldMT" w:cs="TimesNewRomanPS-BoldMT"/>
          <w:bCs/>
        </w:rPr>
      </w:pPr>
    </w:p>
    <w:p w:rsidR="00DB6C9F" w:rsidRPr="00CC793F" w:rsidRDefault="00DB6C9F" w:rsidP="00DB6C9F">
      <w:pPr>
        <w:spacing w:line="480" w:lineRule="auto"/>
        <w:jc w:val="both"/>
        <w:rPr>
          <w:rFonts w:ascii="TimesNewRomanPS-BoldMT" w:hAnsi="TimesNewRomanPS-BoldMT" w:cs="TimesNewRomanPS-BoldMT"/>
          <w:b/>
          <w:bCs/>
        </w:rPr>
      </w:pPr>
      <w:r w:rsidRPr="00CC793F">
        <w:rPr>
          <w:rFonts w:ascii="TimesNewRomanPS-BoldMT" w:hAnsi="TimesNewRomanPS-BoldMT" w:cs="TimesNewRomanPS-BoldMT"/>
          <w:b/>
          <w:bCs/>
        </w:rPr>
        <w:lastRenderedPageBreak/>
        <w:t>2.6 Demographic Process</w:t>
      </w:r>
    </w:p>
    <w:p w:rsidR="00DB6C9F" w:rsidRPr="00B14506" w:rsidRDefault="00CC793F" w:rsidP="00DB6C9F">
      <w:pPr>
        <w:spacing w:line="480" w:lineRule="auto"/>
        <w:ind w:firstLine="709"/>
        <w:jc w:val="both"/>
        <w:rPr>
          <w:rFonts w:ascii="TimesNewRomanPS-BoldMT" w:hAnsi="TimesNewRomanPS-BoldMT" w:cs="TimesNewRomanPS-BoldMT"/>
          <w:bCs/>
        </w:rPr>
      </w:pPr>
      <w:r>
        <w:rPr>
          <w:rFonts w:ascii="TimesNewRomanPS-BoldMT" w:hAnsi="TimesNewRomanPS-BoldMT" w:cs="TimesNewRomanPS-BoldMT"/>
          <w:bCs/>
        </w:rPr>
        <w:t xml:space="preserve">As </w:t>
      </w:r>
      <w:r w:rsidR="00DB6C9F">
        <w:rPr>
          <w:rFonts w:ascii="TimesNewRomanPS-BoldMT" w:hAnsi="TimesNewRomanPS-BoldMT" w:cs="TimesNewRomanPS-BoldMT"/>
          <w:bCs/>
        </w:rPr>
        <w:t>mentioned above</w:t>
      </w:r>
      <w:r>
        <w:rPr>
          <w:rFonts w:ascii="TimesNewRomanPS-BoldMT" w:hAnsi="TimesNewRomanPS-BoldMT" w:cs="TimesNewRomanPS-BoldMT"/>
          <w:bCs/>
        </w:rPr>
        <w:t xml:space="preserve">, the </w:t>
      </w:r>
      <w:r w:rsidR="00DB6C9F">
        <w:rPr>
          <w:rFonts w:ascii="TimesNewRomanPS-BoldMT" w:hAnsi="TimesNewRomanPS-BoldMT" w:cs="TimesNewRomanPS-BoldMT"/>
          <w:bCs/>
        </w:rPr>
        <w:t>population is divided into 21 generations or age groups (</w:t>
      </w:r>
      <w:r w:rsidR="00DB6C9F" w:rsidRPr="006E4D35">
        <w:t>i.e.,</w:t>
      </w:r>
      <w:r w:rsidR="00DB6C9F">
        <w:t xml:space="preserve"> 0-4, 5-9, 10-14, 15-</w:t>
      </w:r>
      <w:proofErr w:type="gramStart"/>
      <w:r w:rsidR="00DB6C9F">
        <w:t>19, …100</w:t>
      </w:r>
      <w:proofErr w:type="gramEnd"/>
      <w:r w:rsidR="00DB6C9F">
        <w:t>-104</w:t>
      </w:r>
      <w:r w:rsidR="00DB6C9F">
        <w:rPr>
          <w:rFonts w:ascii="TimesNewRomanPS-BoldMT" w:hAnsi="TimesNewRomanPS-BoldMT" w:cs="TimesNewRomanPS-BoldMT"/>
          <w:bCs/>
        </w:rPr>
        <w:t>). In the model, population</w:t>
      </w:r>
      <w:r w:rsidR="00DB6C9F" w:rsidRPr="00B14506">
        <w:rPr>
          <w:rFonts w:ascii="TimesNewRomanPS-BoldMT" w:hAnsi="TimesNewRomanPS-BoldMT" w:cs="TimesNewRomanPS-BoldMT"/>
          <w:bCs/>
        </w:rPr>
        <w:t xml:space="preserve"> projections </w:t>
      </w:r>
      <w:r w:rsidR="00DB6C9F">
        <w:rPr>
          <w:rFonts w:ascii="TimesNewRomanPS-BoldMT" w:hAnsi="TimesNewRomanPS-BoldMT" w:cs="TimesNewRomanPS-BoldMT"/>
          <w:bCs/>
        </w:rPr>
        <w:t>represent</w:t>
      </w:r>
      <w:r w:rsidR="00DB6C9F" w:rsidRPr="00B14506">
        <w:rPr>
          <w:rFonts w:ascii="TimesNewRomanPS-BoldMT" w:hAnsi="TimesNewRomanPS-BoldMT" w:cs="TimesNewRomanPS-BoldMT"/>
          <w:bCs/>
        </w:rPr>
        <w:t xml:space="preserve"> </w:t>
      </w:r>
      <w:r w:rsidR="00DB6C9F">
        <w:rPr>
          <w:rFonts w:ascii="TimesNewRomanPS-BoldMT" w:hAnsi="TimesNewRomanPS-BoldMT" w:cs="TimesNewRomanPS-BoldMT"/>
          <w:bCs/>
        </w:rPr>
        <w:t>an exogenous shock</w:t>
      </w:r>
      <w:r w:rsidR="00DB6C9F" w:rsidRPr="00B14506">
        <w:rPr>
          <w:rFonts w:ascii="TimesNewRomanPS-BoldMT" w:hAnsi="TimesNewRomanPS-BoldMT" w:cs="TimesNewRomanPS-BoldMT"/>
          <w:bCs/>
        </w:rPr>
        <w:t xml:space="preserve">. In other words, demographic </w:t>
      </w:r>
      <w:r w:rsidR="00DB6C9F">
        <w:rPr>
          <w:rFonts w:ascii="TimesNewRomanPS-BoldMT" w:hAnsi="TimesNewRomanPS-BoldMT" w:cs="TimesNewRomanPS-BoldMT"/>
          <w:bCs/>
        </w:rPr>
        <w:t>variables such as fertility</w:t>
      </w:r>
      <w:r w:rsidR="00DB6C9F" w:rsidRPr="00B14506">
        <w:rPr>
          <w:rFonts w:ascii="TimesNewRomanPS-BoldMT" w:hAnsi="TimesNewRomanPS-BoldMT" w:cs="TimesNewRomanPS-BoldMT"/>
          <w:bCs/>
        </w:rPr>
        <w:t xml:space="preserve">, </w:t>
      </w:r>
      <w:r w:rsidR="00DB6C9F">
        <w:rPr>
          <w:rFonts w:ascii="TimesNewRomanPS-BoldMT" w:hAnsi="TimesNewRomanPS-BoldMT" w:cs="TimesNewRomanPS-BoldMT"/>
          <w:bCs/>
        </w:rPr>
        <w:t>mortality (</w:t>
      </w:r>
      <w:r w:rsidR="00DB6C9F" w:rsidRPr="00B14506">
        <w:rPr>
          <w:rFonts w:ascii="TimesNewRomanPS-BoldMT" w:hAnsi="TimesNewRomanPS-BoldMT" w:cs="TimesNewRomanPS-BoldMT"/>
          <w:bCs/>
        </w:rPr>
        <w:t>li</w:t>
      </w:r>
      <w:r w:rsidR="00DB6C9F">
        <w:rPr>
          <w:rFonts w:ascii="TimesNewRomanPS-BoldMT" w:hAnsi="TimesNewRomanPS-BoldMT" w:cs="TimesNewRomanPS-BoldMT"/>
          <w:bCs/>
        </w:rPr>
        <w:t xml:space="preserve">fe expectancy) and net-migration are </w:t>
      </w:r>
      <w:r>
        <w:rPr>
          <w:rFonts w:ascii="TimesNewRomanPS-BoldMT" w:hAnsi="TimesNewRomanPS-BoldMT" w:cs="TimesNewRomanPS-BoldMT"/>
          <w:bCs/>
        </w:rPr>
        <w:t xml:space="preserve">assumed to be </w:t>
      </w:r>
      <w:r w:rsidR="00DB6C9F">
        <w:rPr>
          <w:rFonts w:ascii="TimesNewRomanPS-BoldMT" w:hAnsi="TimesNewRomanPS-BoldMT" w:cs="TimesNewRomanPS-BoldMT"/>
          <w:bCs/>
        </w:rPr>
        <w:t xml:space="preserve">exogenous. This is </w:t>
      </w:r>
      <w:r w:rsidR="00DB6C9F" w:rsidRPr="00B14506">
        <w:rPr>
          <w:rFonts w:ascii="TimesNewRomanPS-BoldMT" w:hAnsi="TimesNewRomanPS-BoldMT" w:cs="TimesNewRomanPS-BoldMT"/>
          <w:bCs/>
        </w:rPr>
        <w:t>a simplifying assumption given t</w:t>
      </w:r>
      <w:r w:rsidR="00DB6C9F">
        <w:rPr>
          <w:rFonts w:ascii="TimesNewRomanPS-BoldMT" w:hAnsi="TimesNewRomanPS-BoldMT" w:cs="TimesNewRomanPS-BoldMT"/>
          <w:bCs/>
        </w:rPr>
        <w:t xml:space="preserve">hat such variables are likely </w:t>
      </w:r>
      <w:r w:rsidR="00DB6C9F" w:rsidRPr="00B14506">
        <w:rPr>
          <w:rFonts w:ascii="TimesNewRomanPS-BoldMT" w:hAnsi="TimesNewRomanPS-BoldMT" w:cs="TimesNewRomanPS-BoldMT"/>
          <w:bCs/>
        </w:rPr>
        <w:t xml:space="preserve">endogenous </w:t>
      </w:r>
      <w:r w:rsidR="00DB6C9F">
        <w:rPr>
          <w:rFonts w:ascii="TimesNewRomanPS-BoldMT" w:hAnsi="TimesNewRomanPS-BoldMT" w:cs="TimesNewRomanPS-BoldMT"/>
          <w:bCs/>
        </w:rPr>
        <w:t xml:space="preserve">and affected </w:t>
      </w:r>
      <w:r>
        <w:rPr>
          <w:rFonts w:ascii="TimesNewRomanPS-BoldMT" w:hAnsi="TimesNewRomanPS-BoldMT" w:cs="TimesNewRomanPS-BoldMT"/>
          <w:bCs/>
        </w:rPr>
        <w:t xml:space="preserve">by, for example, </w:t>
      </w:r>
      <w:r w:rsidR="00DB6C9F">
        <w:rPr>
          <w:rFonts w:ascii="TimesNewRomanPS-BoldMT" w:hAnsi="TimesNewRomanPS-BoldMT" w:cs="TimesNewRomanPS-BoldMT"/>
          <w:bCs/>
        </w:rPr>
        <w:t>differences in economic growth</w:t>
      </w:r>
      <w:r w:rsidR="00DB6C9F" w:rsidRPr="00B14506">
        <w:rPr>
          <w:rFonts w:ascii="TimesNewRomanPS-BoldMT" w:hAnsi="TimesNewRomanPS-BoldMT" w:cs="TimesNewRomanPS-BoldMT"/>
          <w:bCs/>
        </w:rPr>
        <w:t>.</w:t>
      </w:r>
    </w:p>
    <w:p w:rsidR="00DB6C9F" w:rsidRPr="00B14506" w:rsidRDefault="00DB6C9F" w:rsidP="00DB6C9F">
      <w:pPr>
        <w:spacing w:line="480" w:lineRule="auto"/>
        <w:ind w:firstLine="709"/>
        <w:jc w:val="both"/>
        <w:rPr>
          <w:rFonts w:ascii="TimesNewRomanPS-BoldMT" w:hAnsi="TimesNewRomanPS-BoldMT" w:cs="TimesNewRomanPS-BoldMT"/>
          <w:bCs/>
        </w:rPr>
      </w:pPr>
      <w:r w:rsidRPr="00B14506">
        <w:rPr>
          <w:rFonts w:ascii="TimesNewRomanPS-BoldMT" w:hAnsi="TimesNewRomanPS-BoldMT" w:cs="TimesNewRomanPS-BoldMT"/>
          <w:bCs/>
        </w:rPr>
        <w:t xml:space="preserve">The size of </w:t>
      </w:r>
      <w:r>
        <w:rPr>
          <w:rFonts w:ascii="TimesNewRomanPS-BoldMT" w:hAnsi="TimesNewRomanPS-BoldMT" w:cs="TimesNewRomanPS-BoldMT"/>
          <w:bCs/>
        </w:rPr>
        <w:t xml:space="preserve">the </w:t>
      </w:r>
      <w:r w:rsidRPr="00B14506">
        <w:rPr>
          <w:rFonts w:ascii="TimesNewRomanPS-BoldMT" w:hAnsi="TimesNewRomanPS-BoldMT" w:cs="TimesNewRomanPS-BoldMT"/>
          <w:bCs/>
        </w:rPr>
        <w:t xml:space="preserve">population of </w:t>
      </w:r>
      <w:r w:rsidR="00CC793F">
        <w:rPr>
          <w:rFonts w:ascii="TimesNewRomanPS-BoldMT" w:hAnsi="TimesNewRomanPS-BoldMT" w:cs="TimesNewRomanPS-BoldMT"/>
          <w:bCs/>
        </w:rPr>
        <w:t xml:space="preserve">a </w:t>
      </w:r>
      <w:r w:rsidR="009B41EB">
        <w:rPr>
          <w:rFonts w:ascii="TimesNewRomanPS-BoldMT" w:hAnsi="TimesNewRomanPS-BoldMT" w:cs="TimesNewRomanPS-BoldMT"/>
          <w:bCs/>
        </w:rPr>
        <w:t xml:space="preserve">generation </w:t>
      </w:r>
      <w:r w:rsidRPr="00B14506">
        <w:rPr>
          <w:rFonts w:ascii="TimesNewRomanPS-BoldMT" w:hAnsi="TimesNewRomanPS-BoldMT" w:cs="TimesNewRomanPS-BoldMT"/>
          <w:bCs/>
        </w:rPr>
        <w:t xml:space="preserve">or </w:t>
      </w:r>
      <w:r w:rsidR="009B41EB">
        <w:rPr>
          <w:rFonts w:ascii="TimesNewRomanPS-BoldMT" w:hAnsi="TimesNewRomanPS-BoldMT" w:cs="TimesNewRomanPS-BoldMT"/>
          <w:bCs/>
        </w:rPr>
        <w:t xml:space="preserve">an </w:t>
      </w:r>
      <w:r w:rsidRPr="00B14506">
        <w:rPr>
          <w:rFonts w:ascii="TimesNewRomanPS-BoldMT" w:hAnsi="TimesNewRomanPS-BoldMT" w:cs="TimesNewRomanPS-BoldMT"/>
          <w:bCs/>
        </w:rPr>
        <w:t xml:space="preserve">age group </w:t>
      </w:r>
      <w:proofErr w:type="spellStart"/>
      <w:r w:rsidRPr="00645BE2">
        <w:rPr>
          <w:rFonts w:ascii="TimesNewRomanPS-BoldMT" w:hAnsi="TimesNewRomanPS-BoldMT" w:cs="TimesNewRomanPS-BoldMT"/>
          <w:bCs/>
          <w:i/>
        </w:rPr>
        <w:t>g+k</w:t>
      </w:r>
      <w:proofErr w:type="spellEnd"/>
      <w:r w:rsidR="00CC793F">
        <w:rPr>
          <w:rFonts w:ascii="TimesNewRomanPS-BoldMT" w:hAnsi="TimesNewRomanPS-BoldMT" w:cs="TimesNewRomanPS-BoldMT"/>
          <w:bCs/>
        </w:rPr>
        <w:t xml:space="preserve"> i</w:t>
      </w:r>
      <w:r w:rsidRPr="00B14506">
        <w:rPr>
          <w:rFonts w:ascii="TimesNewRomanPS-BoldMT" w:hAnsi="TimesNewRomanPS-BoldMT" w:cs="TimesNewRomanPS-BoldMT"/>
          <w:bCs/>
        </w:rPr>
        <w:t xml:space="preserve">n period </w:t>
      </w:r>
      <w:r w:rsidRPr="00645BE2">
        <w:rPr>
          <w:rFonts w:ascii="TimesNewRomanPS-BoldMT" w:hAnsi="TimesNewRomanPS-BoldMT" w:cs="TimesNewRomanPS-BoldMT"/>
          <w:bCs/>
          <w:i/>
        </w:rPr>
        <w:t>t</w:t>
      </w:r>
      <w:r w:rsidRPr="00B14506">
        <w:rPr>
          <w:rFonts w:ascii="TimesNewRomanPS-BoldMT" w:hAnsi="TimesNewRomanPS-BoldMT" w:cs="TimesNewRomanPS-BoldMT"/>
          <w:bCs/>
        </w:rPr>
        <w:t xml:space="preserve"> is given by two laws of motion: </w:t>
      </w:r>
    </w:p>
    <w:p w:rsidR="00EC0403" w:rsidRDefault="00DB6C9F" w:rsidP="00DB6C9F">
      <w:r>
        <w:t>(22)</w:t>
      </w:r>
      <w:r>
        <w:tab/>
      </w:r>
      <w:r>
        <w:tab/>
      </w:r>
      <m:oMath>
        <m:sSub>
          <m:sSubPr>
            <m:ctrlPr>
              <w:rPr>
                <w:rFonts w:ascii="Cambria Math" w:hAnsi="Cambria Math"/>
                <w:i/>
              </w:rPr>
            </m:ctrlPr>
          </m:sSubPr>
          <m:e>
            <m:r>
              <w:rPr>
                <w:rFonts w:ascii="Cambria Math" w:hAnsi="Cambria Math"/>
              </w:rPr>
              <m:t>Pop</m:t>
            </m:r>
          </m:e>
          <m:sub>
            <m:r>
              <w:rPr>
                <w:rFonts w:ascii="Cambria Math" w:hAnsi="Cambria Math"/>
              </w:rPr>
              <m:t>j,t,g+k</m:t>
            </m:r>
          </m:sub>
        </m:sSub>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Pop</m:t>
                    </m:r>
                  </m:e>
                  <m:sub>
                    <m:r>
                      <w:rPr>
                        <w:rFonts w:ascii="Cambria Math" w:hAnsi="Cambria Math"/>
                      </w:rPr>
                      <m:t>j,t-1,g+k</m:t>
                    </m:r>
                  </m:sub>
                </m:sSub>
                <m:sSub>
                  <m:sSubPr>
                    <m:ctrlPr>
                      <w:rPr>
                        <w:rFonts w:ascii="Cambria Math" w:hAnsi="Cambria Math"/>
                        <w:i/>
                      </w:rPr>
                    </m:ctrlPr>
                  </m:sSubPr>
                  <m:e>
                    <m:r>
                      <w:rPr>
                        <w:rFonts w:ascii="Cambria Math" w:hAnsi="Cambria Math"/>
                      </w:rPr>
                      <m:t xml:space="preserve"> </m:t>
                    </m:r>
                    <m:r>
                      <w:rPr>
                        <w:rFonts w:ascii="Cambria Math" w:hAnsi="Cambria Math"/>
                      </w:rPr>
                      <m:t>fr</m:t>
                    </m:r>
                  </m:e>
                  <m:sub>
                    <m:r>
                      <w:rPr>
                        <w:rFonts w:ascii="Cambria Math" w:hAnsi="Cambria Math"/>
                      </w:rPr>
                      <m:t>j,t-1</m:t>
                    </m:r>
                  </m:sub>
                </m:sSub>
                <m:r>
                  <w:rPr>
                    <w:rFonts w:ascii="Cambria Math" w:hAnsi="Cambria Math"/>
                  </w:rPr>
                  <m:t xml:space="preserve">                   for k=0</m:t>
                </m:r>
                <m:r>
                  <w:rPr>
                    <w:rFonts w:ascii="Cambria Math" w:hAnsi="Cambria Math"/>
                  </w:rPr>
                  <m:t xml:space="preserve">       </m:t>
                </m:r>
              </m:e>
              <m:e>
                <m:sSub>
                  <m:sSubPr>
                    <m:ctrlPr>
                      <w:rPr>
                        <w:rFonts w:ascii="Cambria Math" w:hAnsi="Cambria Math"/>
                        <w:i/>
                      </w:rPr>
                    </m:ctrlPr>
                  </m:sSubPr>
                  <m:e>
                    <m:r>
                      <w:rPr>
                        <w:rFonts w:ascii="Cambria Math" w:hAnsi="Cambria Math"/>
                      </w:rPr>
                      <m:t>Pop</m:t>
                    </m:r>
                  </m:e>
                  <m:sub>
                    <m:r>
                      <w:rPr>
                        <w:rFonts w:ascii="Cambria Math" w:hAnsi="Cambria Math"/>
                      </w:rPr>
                      <m:t xml:space="preserve">j,t-1,g+k-1 </m:t>
                    </m:r>
                  </m:sub>
                </m:sSub>
                <m:sSub>
                  <m:sSubPr>
                    <m:ctrlPr>
                      <w:rPr>
                        <w:rFonts w:ascii="Cambria Math" w:hAnsi="Cambria Math"/>
                        <w:i/>
                      </w:rPr>
                    </m:ctrlPr>
                  </m:sSubPr>
                  <m:e>
                    <m:r>
                      <w:rPr>
                        <w:rFonts w:ascii="Cambria Math" w:hAnsi="Cambria Math"/>
                      </w:rPr>
                      <m:t>sr</m:t>
                    </m:r>
                  </m:e>
                  <m:sub>
                    <m:r>
                      <w:rPr>
                        <w:rFonts w:ascii="Cambria Math" w:hAnsi="Cambria Math"/>
                      </w:rPr>
                      <m:t>j,t-1,g+k-1</m:t>
                    </m:r>
                  </m:sub>
                </m:sSub>
                <m:r>
                  <w:rPr>
                    <w:rFonts w:ascii="Cambria Math" w:hAnsi="Cambria Math"/>
                  </w:rPr>
                  <m:t xml:space="preserve">   for k</m:t>
                </m:r>
                <m:r>
                  <w:rPr>
                    <w:rFonts w:ascii="Cambria Math" w:hAnsi="Cambria Math"/>
                  </w:rPr>
                  <m:t>∈</m:t>
                </m:r>
                <m:d>
                  <m:dPr>
                    <m:begChr m:val="["/>
                    <m:endChr m:val="]"/>
                    <m:ctrlPr>
                      <w:rPr>
                        <w:rFonts w:ascii="Cambria Math" w:hAnsi="Cambria Math"/>
                        <w:i/>
                      </w:rPr>
                    </m:ctrlPr>
                  </m:dPr>
                  <m:e>
                    <m:r>
                      <w:rPr>
                        <w:rFonts w:ascii="Cambria Math" w:hAnsi="Cambria Math"/>
                      </w:rPr>
                      <m:t>1,20</m:t>
                    </m:r>
                  </m:e>
                </m:d>
              </m:e>
            </m:eqArr>
          </m:e>
        </m:d>
      </m:oMath>
    </w:p>
    <w:p w:rsidR="00DB6C9F" w:rsidRPr="007A730F" w:rsidRDefault="00DB6C9F" w:rsidP="00DB6C9F"/>
    <w:p w:rsidR="00DB6C9F" w:rsidRDefault="00DB6C9F" w:rsidP="00DB6C9F">
      <w:pPr>
        <w:spacing w:line="480" w:lineRule="auto"/>
        <w:jc w:val="both"/>
      </w:pPr>
      <w:r w:rsidRPr="007A730F">
        <w:t>The</w:t>
      </w:r>
      <w:r>
        <w:t xml:space="preserve"> first law of motion simply implies</w:t>
      </w:r>
      <w:r w:rsidRPr="007A730F">
        <w:t xml:space="preserve"> that the number of </w:t>
      </w:r>
      <w:r>
        <w:t>children</w:t>
      </w:r>
      <w:r w:rsidRPr="007A730F">
        <w:t xml:space="preserve"> (age group </w:t>
      </w:r>
      <w:proofErr w:type="spellStart"/>
      <w:r w:rsidRPr="00645BE2">
        <w:rPr>
          <w:i/>
        </w:rPr>
        <w:t>g+k</w:t>
      </w:r>
      <w:proofErr w:type="spellEnd"/>
      <w:r w:rsidRPr="00645BE2">
        <w:rPr>
          <w:i/>
        </w:rPr>
        <w:t xml:space="preserve"> = g</w:t>
      </w:r>
      <w:r>
        <w:t xml:space="preserve">, i.e. </w:t>
      </w:r>
      <w:r w:rsidR="00CC793F">
        <w:t xml:space="preserve">age group </w:t>
      </w:r>
      <w:r>
        <w:t>0-4) born at time</w:t>
      </w:r>
      <w:r w:rsidRPr="007A730F">
        <w:t xml:space="preserve"> </w:t>
      </w:r>
      <w:r w:rsidRPr="009C6639">
        <w:rPr>
          <w:i/>
        </w:rPr>
        <w:t>t</w:t>
      </w:r>
      <w:r w:rsidRPr="007A730F">
        <w:t xml:space="preserve"> is equal to the size of </w:t>
      </w:r>
      <w:r>
        <w:t>the preceding generation multiplied by the</w:t>
      </w:r>
      <w:r w:rsidRPr="007A730F">
        <w:t xml:space="preserve"> </w:t>
      </w:r>
      <w:r>
        <w:t>“fertility rate”</w:t>
      </w:r>
      <w:r w:rsidR="00CC793F">
        <w:t>,</w:t>
      </w:r>
      <w:r w:rsidRPr="007A730F">
        <w:t xml:space="preserve"> </w:t>
      </w:r>
      <w:proofErr w:type="spellStart"/>
      <w:proofErr w:type="gramStart"/>
      <w:r w:rsidRPr="00CB7202">
        <w:rPr>
          <w:i/>
        </w:rPr>
        <w:t>fr</w:t>
      </w:r>
      <w:proofErr w:type="spellEnd"/>
      <w:proofErr w:type="gramEnd"/>
      <w:r w:rsidR="00CC793F" w:rsidRPr="00CC793F">
        <w:t>,</w:t>
      </w:r>
      <w:r w:rsidRPr="00CC793F">
        <w:t xml:space="preserve"> </w:t>
      </w:r>
      <w:r w:rsidRPr="007A730F">
        <w:t xml:space="preserve">in period </w:t>
      </w:r>
      <w:r w:rsidRPr="009C6639">
        <w:rPr>
          <w:i/>
        </w:rPr>
        <w:t>t-1</w:t>
      </w:r>
      <w:r w:rsidR="00CC793F">
        <w:t>. I</w:t>
      </w:r>
      <w:r>
        <w:t>f every couple on average has</w:t>
      </w:r>
      <w:r w:rsidRPr="007A730F">
        <w:t xml:space="preserve"> two children, the </w:t>
      </w:r>
      <w:r>
        <w:t xml:space="preserve">fertility rate </w:t>
      </w:r>
      <w:r w:rsidRPr="007A730F">
        <w:t xml:space="preserve">is </w:t>
      </w:r>
      <w:r w:rsidR="00CC793F">
        <w:t xml:space="preserve">approximately </w:t>
      </w:r>
      <w:r>
        <w:t>equal to</w:t>
      </w:r>
      <w:r w:rsidRPr="007A730F">
        <w:t xml:space="preserve"> 1 and the size of the young generation </w:t>
      </w:r>
      <w:r w:rsidRPr="009C6639">
        <w:rPr>
          <w:i/>
        </w:rPr>
        <w:t>g</w:t>
      </w:r>
      <w:r w:rsidRPr="007A730F">
        <w:t xml:space="preserve"> at time </w:t>
      </w:r>
      <w:r w:rsidRPr="009C6639">
        <w:rPr>
          <w:i/>
        </w:rPr>
        <w:t>t</w:t>
      </w:r>
      <w:r w:rsidRPr="007A730F">
        <w:t xml:space="preserve"> is </w:t>
      </w:r>
      <w:r w:rsidR="00CC793F">
        <w:t xml:space="preserve">approximately </w:t>
      </w:r>
      <w:r w:rsidRPr="007A730F">
        <w:t xml:space="preserve">equal to the size of </w:t>
      </w:r>
      <w:r>
        <w:t xml:space="preserve">the preceding generation. </w:t>
      </w:r>
      <w:r w:rsidRPr="007A730F">
        <w:t>The second law of motion g</w:t>
      </w:r>
      <w:r w:rsidR="009B41EB">
        <w:t xml:space="preserve">ives the size of any age group </w:t>
      </w:r>
      <w:proofErr w:type="spellStart"/>
      <w:r w:rsidRPr="009C6639">
        <w:rPr>
          <w:i/>
        </w:rPr>
        <w:t>g+k</w:t>
      </w:r>
      <w:proofErr w:type="spellEnd"/>
      <w:r>
        <w:t xml:space="preserve"> beyond the </w:t>
      </w:r>
      <w:r w:rsidRPr="007A730F">
        <w:t>first generation</w:t>
      </w:r>
      <w:r w:rsidR="00CC793F">
        <w:t>,</w:t>
      </w:r>
      <w:r w:rsidRPr="007A730F">
        <w:t xml:space="preserve"> </w:t>
      </w:r>
      <w:r w:rsidRPr="009C6639">
        <w:rPr>
          <w:i/>
        </w:rPr>
        <w:t>g</w:t>
      </w:r>
      <w:r w:rsidRPr="007A730F">
        <w:t xml:space="preserve">, as </w:t>
      </w:r>
      <w:r>
        <w:t>the size of this age group a year ago and an</w:t>
      </w:r>
      <w:r w:rsidRPr="007A730F">
        <w:t xml:space="preserve"> age specific conditional survival rate</w:t>
      </w:r>
      <w:r w:rsidR="00CC793F">
        <w:t>,</w:t>
      </w:r>
      <w:r w:rsidRPr="007A730F">
        <w:t xml:space="preserve"> </w:t>
      </w:r>
      <w:r w:rsidRPr="00CB7202">
        <w:rPr>
          <w:i/>
        </w:rPr>
        <w:t>sr</w:t>
      </w:r>
      <w:r>
        <w:rPr>
          <w:i/>
        </w:rPr>
        <w:t>.</w:t>
      </w:r>
      <w:r>
        <w:t xml:space="preserve"> In this model survival rates vary across time and age. </w:t>
      </w:r>
      <w:r w:rsidR="00CC793F">
        <w:t>For the final generation (</w:t>
      </w:r>
      <w:r w:rsidRPr="00CB7202">
        <w:rPr>
          <w:i/>
        </w:rPr>
        <w:t>k</w:t>
      </w:r>
      <w:r>
        <w:t>=20</w:t>
      </w:r>
      <w:r w:rsidR="00CC793F">
        <w:t>), the</w:t>
      </w:r>
      <w:r>
        <w:t xml:space="preserve"> age group 100-104, </w:t>
      </w:r>
      <w:r w:rsidR="00CC793F">
        <w:t>the conditional survival rate is zero. This means that for the oldest age group at the end of the period,</w:t>
      </w:r>
      <w:r>
        <w:t xml:space="preserve"> everyone dies with certainty.</w:t>
      </w:r>
    </w:p>
    <w:p w:rsidR="00DB6C9F" w:rsidRDefault="00DB6C9F" w:rsidP="00DB6C9F">
      <w:pPr>
        <w:spacing w:line="480" w:lineRule="auto"/>
        <w:ind w:firstLine="709"/>
        <w:jc w:val="both"/>
      </w:pPr>
      <w:r>
        <w:t xml:space="preserve">Time </w:t>
      </w:r>
      <w:r w:rsidR="00CC793F">
        <w:t>variable fertility and time/</w:t>
      </w:r>
      <w:r>
        <w:t xml:space="preserve">age variable survival rates are </w:t>
      </w:r>
      <w:r w:rsidR="00CC793F">
        <w:t xml:space="preserve">taken directly </w:t>
      </w:r>
      <w:r>
        <w:t xml:space="preserve">from the population projection. This allows precise modelling of the population structure within the model. This is a unique feature of this model that makes it ideal for study of the impacts of demographic shocks. </w:t>
      </w:r>
    </w:p>
    <w:p w:rsidR="00D36E1F" w:rsidRDefault="00D36E1F" w:rsidP="00722738">
      <w:pPr>
        <w:spacing w:line="480" w:lineRule="auto"/>
        <w:jc w:val="both"/>
        <w:rPr>
          <w:b/>
        </w:rPr>
      </w:pPr>
      <w:r>
        <w:rPr>
          <w:b/>
        </w:rPr>
        <w:lastRenderedPageBreak/>
        <w:t xml:space="preserve">3. </w:t>
      </w:r>
      <w:r w:rsidR="00405C75">
        <w:rPr>
          <w:b/>
        </w:rPr>
        <w:t>Calibration</w:t>
      </w:r>
    </w:p>
    <w:p w:rsidR="0007658E" w:rsidRDefault="00D36E1F" w:rsidP="0007658E">
      <w:pPr>
        <w:spacing w:line="480" w:lineRule="auto"/>
        <w:ind w:firstLine="720"/>
        <w:jc w:val="both"/>
      </w:pPr>
      <w:r>
        <w:t xml:space="preserve">The model is calibrated </w:t>
      </w:r>
      <w:r w:rsidR="005D7FB7">
        <w:t xml:space="preserve">using </w:t>
      </w:r>
      <w:r w:rsidR="00A01711">
        <w:t>2006 data for</w:t>
      </w:r>
      <w:r w:rsidR="002036D6">
        <w:t xml:space="preserve"> Scotland (where available). This</w:t>
      </w:r>
      <w:r w:rsidR="00A01711">
        <w:t xml:space="preserve"> year is chosen to </w:t>
      </w:r>
      <w:r w:rsidR="0092685C">
        <w:t xml:space="preserve">avoid the effects of the financial crisis, which had </w:t>
      </w:r>
      <w:r w:rsidR="005D7FB7">
        <w:t xml:space="preserve">a </w:t>
      </w:r>
      <w:r w:rsidR="00EB544A">
        <w:t>strong negative</w:t>
      </w:r>
      <w:r w:rsidR="00825180">
        <w:t xml:space="preserve"> </w:t>
      </w:r>
      <w:r w:rsidR="0092685C">
        <w:t xml:space="preserve">impact on </w:t>
      </w:r>
      <w:r w:rsidR="005D7FB7">
        <w:t xml:space="preserve">the </w:t>
      </w:r>
      <w:r w:rsidR="002036D6">
        <w:t xml:space="preserve">performance </w:t>
      </w:r>
      <w:r w:rsidR="00A63D18">
        <w:t>of the Scottish economy and</w:t>
      </w:r>
      <w:r w:rsidR="0092685C">
        <w:t xml:space="preserve"> government finances.</w:t>
      </w:r>
      <w:r w:rsidR="00405C75">
        <w:t xml:space="preserve"> D</w:t>
      </w:r>
      <w:r w:rsidR="0092685C" w:rsidRPr="0092685C">
        <w:t xml:space="preserve">ata </w:t>
      </w:r>
      <w:r w:rsidR="0092685C">
        <w:t>on public</w:t>
      </w:r>
      <w:r w:rsidR="0092685C" w:rsidRPr="0092685C">
        <w:t xml:space="preserve"> </w:t>
      </w:r>
      <w:r w:rsidR="0092685C">
        <w:t xml:space="preserve">finances </w:t>
      </w:r>
      <w:r w:rsidR="00A63D18">
        <w:t xml:space="preserve">and GDP </w:t>
      </w:r>
      <w:r w:rsidR="0092685C">
        <w:t xml:space="preserve">are taken </w:t>
      </w:r>
      <w:r w:rsidR="0092685C" w:rsidRPr="0092685C">
        <w:t xml:space="preserve">from </w:t>
      </w:r>
      <w:r w:rsidR="00405C75" w:rsidRPr="00405C75">
        <w:rPr>
          <w:i/>
        </w:rPr>
        <w:t xml:space="preserve">2006-07 </w:t>
      </w:r>
      <w:r w:rsidR="0092685C" w:rsidRPr="00405C75">
        <w:rPr>
          <w:i/>
        </w:rPr>
        <w:t xml:space="preserve">Government Expenditure and Revenue Scotland </w:t>
      </w:r>
      <w:r w:rsidR="00405C75" w:rsidRPr="00405C75">
        <w:rPr>
          <w:i/>
        </w:rPr>
        <w:t>Report</w:t>
      </w:r>
      <w:r w:rsidR="00405C75">
        <w:t xml:space="preserve"> </w:t>
      </w:r>
      <w:r w:rsidR="0092685C">
        <w:t>(</w:t>
      </w:r>
      <w:r w:rsidR="0092685C" w:rsidRPr="0092685C">
        <w:t>GERS</w:t>
      </w:r>
      <w:r w:rsidR="0092685C">
        <w:t>)</w:t>
      </w:r>
      <w:r w:rsidR="00FA5F2E">
        <w:t xml:space="preserve"> (Scottish Government, 2008)</w:t>
      </w:r>
      <w:r w:rsidR="00405C75">
        <w:t xml:space="preserve">. </w:t>
      </w:r>
      <w:r w:rsidR="00F87985">
        <w:t xml:space="preserve">We use the </w:t>
      </w:r>
      <w:r w:rsidR="00405C75">
        <w:t xml:space="preserve">estimate </w:t>
      </w:r>
      <w:r w:rsidR="00F87985">
        <w:t xml:space="preserve">that </w:t>
      </w:r>
      <w:r w:rsidR="00405C75">
        <w:t xml:space="preserve">assumes that North Sea revenues are distributed based on geographical share. </w:t>
      </w:r>
      <w:r w:rsidR="003D3138">
        <w:t>Effective w</w:t>
      </w:r>
      <w:r w:rsidR="00824B47">
        <w:t xml:space="preserve">age income and consumption tax rates are </w:t>
      </w:r>
      <w:r w:rsidR="00405C75">
        <w:t xml:space="preserve">calculated </w:t>
      </w:r>
      <w:r w:rsidR="00824B47">
        <w:t xml:space="preserve">based on </w:t>
      </w:r>
      <w:r w:rsidR="00A63D18">
        <w:t xml:space="preserve">the </w:t>
      </w:r>
      <w:r w:rsidR="00824B47">
        <w:t>corresponding g</w:t>
      </w:r>
      <w:r w:rsidR="003D3138">
        <w:t xml:space="preserve">overnment revenues category. </w:t>
      </w:r>
      <w:r w:rsidR="00A63D18">
        <w:t xml:space="preserve">The total amount of pensions and other transfers is from the </w:t>
      </w:r>
      <w:r w:rsidR="00A63D18" w:rsidRPr="00405C75">
        <w:rPr>
          <w:i/>
        </w:rPr>
        <w:t>Department of Work and Pensions</w:t>
      </w:r>
      <w:r w:rsidR="0007658E">
        <w:rPr>
          <w:i/>
        </w:rPr>
        <w:t>,</w:t>
      </w:r>
      <w:r w:rsidR="00FA5F2E">
        <w:rPr>
          <w:i/>
        </w:rPr>
        <w:t xml:space="preserve"> </w:t>
      </w:r>
      <w:r w:rsidR="00FA5F2E" w:rsidRPr="00FA5F2E">
        <w:rPr>
          <w:i/>
        </w:rPr>
        <w:t>Benefit Expenditure by Country, Region and Parliamentary Constituenc</w:t>
      </w:r>
      <w:r w:rsidR="00FA5F2E">
        <w:rPr>
          <w:i/>
        </w:rPr>
        <w:t>y</w:t>
      </w:r>
      <w:r w:rsidR="00A63D18">
        <w:t>.</w:t>
      </w:r>
      <w:r w:rsidR="00405C75">
        <w:t xml:space="preserve"> </w:t>
      </w:r>
      <w:r w:rsidR="003D3138">
        <w:t xml:space="preserve">Age-earnings profiles by qualification, </w:t>
      </w:r>
      <w:r w:rsidR="005F6F59">
        <w:t>age-specific</w:t>
      </w:r>
      <w:r w:rsidR="003D3138">
        <w:t xml:space="preserve"> labour force participation rates and distribution of the labour force by qualifications are calculated from the </w:t>
      </w:r>
      <w:r w:rsidR="003D3138" w:rsidRPr="00EB544A">
        <w:rPr>
          <w:i/>
        </w:rPr>
        <w:t>Quarterly Labour Force Survey</w:t>
      </w:r>
      <w:r w:rsidR="003D3138">
        <w:t xml:space="preserve"> (QLFS) (Q1</w:t>
      </w:r>
      <w:r w:rsidR="00405C75">
        <w:t>:</w:t>
      </w:r>
      <w:r w:rsidR="003D3138">
        <w:t>2008, Q1</w:t>
      </w:r>
      <w:r w:rsidR="00405C75">
        <w:t>:</w:t>
      </w:r>
      <w:r w:rsidR="003D3138">
        <w:t>2009 and Q1</w:t>
      </w:r>
      <w:r w:rsidR="00405C75">
        <w:t>:</w:t>
      </w:r>
      <w:r w:rsidR="003D3138">
        <w:t>2010).</w:t>
      </w:r>
    </w:p>
    <w:p w:rsidR="00F85409" w:rsidRDefault="00014780" w:rsidP="00F87985">
      <w:pPr>
        <w:spacing w:line="480" w:lineRule="auto"/>
        <w:jc w:val="both"/>
      </w:pPr>
      <w:r>
        <w:rPr>
          <w:noProof/>
        </w:rPr>
        <w:drawing>
          <wp:inline distT="0" distB="0" distL="0" distR="0">
            <wp:extent cx="5274310" cy="372935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ya-Marcel-Robert Figure 1.jpg"/>
                    <pic:cNvPicPr/>
                  </pic:nvPicPr>
                  <pic:blipFill>
                    <a:blip r:embed="rId7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3729355"/>
                    </a:xfrm>
                    <a:prstGeom prst="rect">
                      <a:avLst/>
                    </a:prstGeom>
                  </pic:spPr>
                </pic:pic>
              </a:graphicData>
            </a:graphic>
          </wp:inline>
        </w:drawing>
      </w:r>
    </w:p>
    <w:p w:rsidR="00F87985" w:rsidRDefault="00F87985" w:rsidP="00F87985">
      <w:pPr>
        <w:spacing w:line="480" w:lineRule="auto"/>
        <w:ind w:firstLine="720"/>
        <w:jc w:val="both"/>
      </w:pPr>
      <w:r>
        <w:lastRenderedPageBreak/>
        <w:t>There are no Scotland specific estimates of the age structure of government spending on health and education. The estimates used are from the</w:t>
      </w:r>
      <w:r w:rsidRPr="00405C75">
        <w:rPr>
          <w:i/>
        </w:rPr>
        <w:t xml:space="preserve"> Canadian National Transfer Accounts</w:t>
      </w:r>
      <w:r>
        <w:rPr>
          <w:i/>
        </w:rPr>
        <w:t xml:space="preserve"> </w:t>
      </w:r>
      <w:r w:rsidRPr="0007658E">
        <w:t>(see Zhang and Mérette, 2011).</w:t>
      </w:r>
      <w:r>
        <w:t xml:space="preserve"> Figure 1 shows the age profiles of public spending on health and education in Canada in 2006. The majority of education spending occurs between the ages 5-9 and 20-24. Health spending grows slowly until the age of 55-59 when it starts increasing much faster and accelerates after age 75-79. One would expect the “shape” of the Scottish profile to be similar.</w:t>
      </w:r>
    </w:p>
    <w:p w:rsidR="00A06425" w:rsidRPr="00A36EDB" w:rsidRDefault="00A63D18" w:rsidP="00A36EDB">
      <w:pPr>
        <w:spacing w:line="480" w:lineRule="auto"/>
        <w:ind w:firstLine="720"/>
        <w:jc w:val="both"/>
      </w:pPr>
      <w:r>
        <w:t>Capital share of the output (</w:t>
      </w:r>
      <w:r w:rsidRPr="001D1B6A">
        <w:rPr>
          <w:i/>
        </w:rPr>
        <w:t>α</w:t>
      </w:r>
      <w:r>
        <w:t xml:space="preserve">) is set to 0.3. </w:t>
      </w:r>
      <w:r w:rsidRPr="00D91524">
        <w:t>The (</w:t>
      </w:r>
      <w:r>
        <w:t>5</w:t>
      </w:r>
      <w:r w:rsidRPr="00D91524">
        <w:t xml:space="preserve">-year) </w:t>
      </w:r>
      <w:proofErr w:type="spellStart"/>
      <w:r w:rsidRPr="00D91524">
        <w:t>intertemporal</w:t>
      </w:r>
      <w:proofErr w:type="spellEnd"/>
      <w:r w:rsidRPr="00D91524">
        <w:t xml:space="preserve"> elasticity of substitution (</w:t>
      </w:r>
      <w:r w:rsidRPr="001D1B6A">
        <w:rPr>
          <w:i/>
        </w:rPr>
        <w:t>1/</w:t>
      </w:r>
      <w:r w:rsidRPr="001D1B6A">
        <w:rPr>
          <w:rFonts w:hint="eastAsia"/>
          <w:i/>
        </w:rPr>
        <w:t>γ</w:t>
      </w:r>
      <w:r w:rsidRPr="00D91524">
        <w:t xml:space="preserve">) is set to </w:t>
      </w:r>
      <w:r w:rsidRPr="00A63D18">
        <w:t>1.</w:t>
      </w:r>
      <w:r>
        <w:t>5</w:t>
      </w:r>
      <w:r w:rsidRPr="00D91524">
        <w:t>. The (</w:t>
      </w:r>
      <w:r>
        <w:t>5</w:t>
      </w:r>
      <w:r w:rsidRPr="00D91524">
        <w:t>-year) rate of time preference is solved</w:t>
      </w:r>
      <w:r>
        <w:t xml:space="preserve"> </w:t>
      </w:r>
      <w:r w:rsidRPr="00D91524">
        <w:t>endogenously in the calibration procedure in order to generate realistic consumption profiles and capital ownership profiles per age group</w:t>
      </w:r>
      <w:r w:rsidR="005D7FB7">
        <w:t>,</w:t>
      </w:r>
      <w:r w:rsidRPr="00D91524">
        <w:t xml:space="preserve"> for</w:t>
      </w:r>
      <w:r>
        <w:t xml:space="preserve"> </w:t>
      </w:r>
      <w:r w:rsidRPr="00D91524">
        <w:t>which no data are easily available.</w:t>
      </w:r>
      <w:r>
        <w:t xml:space="preserve"> The rate of time preference and the </w:t>
      </w:r>
      <w:proofErr w:type="spellStart"/>
      <w:r>
        <w:t>intertemporal</w:t>
      </w:r>
      <w:proofErr w:type="spellEnd"/>
      <w:r>
        <w:t xml:space="preserve"> elasticity of substitution </w:t>
      </w:r>
      <w:r w:rsidR="00722738">
        <w:t xml:space="preserve">together </w:t>
      </w:r>
      <w:r>
        <w:t>determine</w:t>
      </w:r>
      <w:r w:rsidR="00722738">
        <w:t xml:space="preserve"> </w:t>
      </w:r>
      <w:r>
        <w:t>the slope of the consumption profiles across age groups in the</w:t>
      </w:r>
      <w:r w:rsidR="00722738">
        <w:t xml:space="preserve"> calibration of the model (when</w:t>
      </w:r>
      <w:r>
        <w:t xml:space="preserve"> </w:t>
      </w:r>
      <w:r w:rsidR="005D7FB7">
        <w:t xml:space="preserve">the </w:t>
      </w:r>
      <w:r>
        <w:t xml:space="preserve">population is assumed </w:t>
      </w:r>
      <w:r w:rsidR="005D7FB7">
        <w:t xml:space="preserve">to be </w:t>
      </w:r>
      <w:r>
        <w:t>stable)</w:t>
      </w:r>
      <w:r w:rsidR="005D7FB7">
        <w:t>.</w:t>
      </w:r>
      <w:r>
        <w:t xml:space="preserve"> </w:t>
      </w:r>
      <w:r w:rsidR="005D7FB7">
        <w:t>T</w:t>
      </w:r>
      <w:r>
        <w:t>his is also the slope of the consumption profile of an individual across his lifetime in the simulated model in the absence of demographic shocks.</w:t>
      </w:r>
    </w:p>
    <w:p w:rsidR="00A458B5" w:rsidRDefault="00A458B5" w:rsidP="00BD14AA">
      <w:pPr>
        <w:spacing w:line="480" w:lineRule="auto"/>
        <w:jc w:val="both"/>
        <w:rPr>
          <w:b/>
        </w:rPr>
      </w:pPr>
    </w:p>
    <w:p w:rsidR="00D36E1F" w:rsidRDefault="00D36E1F" w:rsidP="00BD14AA">
      <w:pPr>
        <w:spacing w:line="480" w:lineRule="auto"/>
        <w:jc w:val="both"/>
        <w:rPr>
          <w:b/>
        </w:rPr>
      </w:pPr>
      <w:r>
        <w:rPr>
          <w:b/>
        </w:rPr>
        <w:t xml:space="preserve">4. </w:t>
      </w:r>
      <w:r w:rsidRPr="00D36E1F">
        <w:rPr>
          <w:b/>
        </w:rPr>
        <w:t>Results</w:t>
      </w:r>
    </w:p>
    <w:p w:rsidR="0007658E" w:rsidRDefault="00722738" w:rsidP="00A458B5">
      <w:pPr>
        <w:spacing w:line="480" w:lineRule="auto"/>
        <w:ind w:firstLine="720"/>
        <w:jc w:val="both"/>
      </w:pPr>
      <w:r>
        <w:t xml:space="preserve">The </w:t>
      </w:r>
      <w:r w:rsidR="00BB78BD">
        <w:t xml:space="preserve">baseline demographic scenario </w:t>
      </w:r>
      <w:r>
        <w:t xml:space="preserve">is the “official” </w:t>
      </w:r>
      <w:r w:rsidR="00BB78BD">
        <w:t xml:space="preserve">2010-based principal population projection for </w:t>
      </w:r>
      <w:r w:rsidR="003837F4">
        <w:t xml:space="preserve">Scotland </w:t>
      </w:r>
      <w:r w:rsidR="004310F5">
        <w:t>(</w:t>
      </w:r>
      <w:r w:rsidR="0007658E" w:rsidRPr="00295F2D">
        <w:t>National Records of Scotland</w:t>
      </w:r>
      <w:r w:rsidR="00F87985">
        <w:t>,</w:t>
      </w:r>
      <w:r w:rsidR="0007658E" w:rsidRPr="00295F2D">
        <w:t xml:space="preserve"> </w:t>
      </w:r>
      <w:r w:rsidR="004310F5" w:rsidRPr="00295F2D">
        <w:t>2011)</w:t>
      </w:r>
      <w:r w:rsidR="004310F5">
        <w:t xml:space="preserve">. </w:t>
      </w:r>
      <w:r w:rsidR="00247C33">
        <w:t xml:space="preserve">This projection is summarised in Figure </w:t>
      </w:r>
      <w:r w:rsidR="00F03E0E">
        <w:t xml:space="preserve">2 </w:t>
      </w:r>
      <w:r w:rsidR="00247C33">
        <w:t xml:space="preserve">which shows the growth rates of key age groups. </w:t>
      </w:r>
      <w:r w:rsidR="007731D4">
        <w:t>According to th</w:t>
      </w:r>
      <w:r w:rsidR="00F87985">
        <w:t>i</w:t>
      </w:r>
      <w:r w:rsidR="007731D4">
        <w:t>s projection</w:t>
      </w:r>
      <w:r w:rsidR="00886CD6">
        <w:t>,</w:t>
      </w:r>
      <w:r w:rsidR="007731D4">
        <w:t xml:space="preserve"> by 2106 total population will increase by 22%, </w:t>
      </w:r>
      <w:r w:rsidR="004310F5">
        <w:t xml:space="preserve">the </w:t>
      </w:r>
      <w:r w:rsidR="007731D4">
        <w:t>pension age population (65+) will increase by 127%</w:t>
      </w:r>
      <w:r w:rsidR="004310F5">
        <w:t xml:space="preserve">; </w:t>
      </w:r>
      <w:r w:rsidR="004310F5" w:rsidRPr="0007658E">
        <w:rPr>
          <w:color w:val="000000" w:themeColor="text1"/>
        </w:rPr>
        <w:t xml:space="preserve">the </w:t>
      </w:r>
      <w:r w:rsidR="003837F4" w:rsidRPr="0007658E">
        <w:rPr>
          <w:color w:val="000000" w:themeColor="text1"/>
        </w:rPr>
        <w:t>children</w:t>
      </w:r>
      <w:r w:rsidR="004310F5" w:rsidRPr="0007658E">
        <w:rPr>
          <w:color w:val="000000" w:themeColor="text1"/>
        </w:rPr>
        <w:t>/youth population (</w:t>
      </w:r>
      <w:r w:rsidR="0007658E" w:rsidRPr="0007658E">
        <w:rPr>
          <w:color w:val="000000" w:themeColor="text1"/>
        </w:rPr>
        <w:t>&lt;20</w:t>
      </w:r>
      <w:r w:rsidR="004310F5" w:rsidRPr="0007658E">
        <w:rPr>
          <w:color w:val="000000" w:themeColor="text1"/>
        </w:rPr>
        <w:t xml:space="preserve">) will </w:t>
      </w:r>
      <w:r w:rsidR="00FD0F2C" w:rsidRPr="0007658E">
        <w:rPr>
          <w:color w:val="000000" w:themeColor="text1"/>
        </w:rPr>
        <w:t>stay constant</w:t>
      </w:r>
      <w:r w:rsidR="007731D4" w:rsidRPr="0007658E">
        <w:rPr>
          <w:color w:val="000000" w:themeColor="text1"/>
        </w:rPr>
        <w:t xml:space="preserve"> and </w:t>
      </w:r>
      <w:r w:rsidR="004310F5" w:rsidRPr="0007658E">
        <w:rPr>
          <w:color w:val="000000" w:themeColor="text1"/>
        </w:rPr>
        <w:t xml:space="preserve">the </w:t>
      </w:r>
      <w:r w:rsidR="007731D4" w:rsidRPr="0007658E">
        <w:rPr>
          <w:color w:val="000000" w:themeColor="text1"/>
        </w:rPr>
        <w:t xml:space="preserve">working age population (20-64) will stagnate during </w:t>
      </w:r>
      <w:r w:rsidR="007731D4" w:rsidRPr="0007658E">
        <w:rPr>
          <w:color w:val="000000" w:themeColor="text1"/>
        </w:rPr>
        <w:lastRenderedPageBreak/>
        <w:t xml:space="preserve">this </w:t>
      </w:r>
      <w:r w:rsidR="00D770DB" w:rsidRPr="0007658E">
        <w:rPr>
          <w:color w:val="000000" w:themeColor="text1"/>
        </w:rPr>
        <w:t>pe</w:t>
      </w:r>
      <w:r w:rsidR="00D770DB">
        <w:t xml:space="preserve">riod </w:t>
      </w:r>
      <w:r w:rsidR="00886CD6">
        <w:t xml:space="preserve">with an </w:t>
      </w:r>
      <w:r w:rsidR="00D770DB">
        <w:t xml:space="preserve">increase </w:t>
      </w:r>
      <w:r w:rsidR="00886CD6">
        <w:t xml:space="preserve">of </w:t>
      </w:r>
      <w:r w:rsidR="00FD0F2C">
        <w:t>1</w:t>
      </w:r>
      <w:r w:rsidR="00D770DB">
        <w:t>%</w:t>
      </w:r>
      <w:r w:rsidR="00655F1A">
        <w:t>.</w:t>
      </w:r>
      <w:r w:rsidR="00D770DB">
        <w:t xml:space="preserve"> </w:t>
      </w:r>
      <w:r w:rsidR="004310F5">
        <w:t>It is clear from th</w:t>
      </w:r>
      <w:r w:rsidR="00FD0F2C">
        <w:t>is</w:t>
      </w:r>
      <w:r w:rsidR="004310F5">
        <w:t xml:space="preserve"> projection that significant population ageing is expected.  </w:t>
      </w:r>
    </w:p>
    <w:p w:rsidR="007E72BD" w:rsidRDefault="007E72BD" w:rsidP="007E72BD">
      <w:pPr>
        <w:spacing w:line="480" w:lineRule="auto"/>
        <w:jc w:val="both"/>
      </w:pPr>
      <w:r>
        <w:rPr>
          <w:noProof/>
        </w:rPr>
        <w:drawing>
          <wp:inline distT="0" distB="0" distL="0" distR="0">
            <wp:extent cx="5274310" cy="3729355"/>
            <wp:effectExtent l="0" t="0" r="254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ya-Marcel-Robert Figure 2.jpg"/>
                    <pic:cNvPicPr/>
                  </pic:nvPicPr>
                  <pic:blipFill>
                    <a:blip r:embed="rId7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3729355"/>
                    </a:xfrm>
                    <a:prstGeom prst="rect">
                      <a:avLst/>
                    </a:prstGeom>
                  </pic:spPr>
                </pic:pic>
              </a:graphicData>
            </a:graphic>
          </wp:inline>
        </w:drawing>
      </w:r>
    </w:p>
    <w:p w:rsidR="00655F1A" w:rsidRDefault="00750FE5" w:rsidP="00C45EBE">
      <w:pPr>
        <w:spacing w:line="480" w:lineRule="auto"/>
        <w:ind w:firstLine="720"/>
        <w:jc w:val="both"/>
      </w:pPr>
      <w:r>
        <w:t xml:space="preserve">Population ageing in an OLG model results in </w:t>
      </w:r>
      <w:r w:rsidR="00886CD6">
        <w:t xml:space="preserve">the </w:t>
      </w:r>
      <w:r>
        <w:t>accumulation of assets because older generations are relatively asset “rich”</w:t>
      </w:r>
      <w:r w:rsidR="006B5BA4">
        <w:t xml:space="preserve"> compared to younger generations</w:t>
      </w:r>
      <w:r>
        <w:t>. This leads to</w:t>
      </w:r>
      <w:r w:rsidR="00886CD6">
        <w:t xml:space="preserve"> an</w:t>
      </w:r>
      <w:r>
        <w:t xml:space="preserve"> increase in the level of capital stock. </w:t>
      </w:r>
      <w:r w:rsidR="00CC2A4D">
        <w:t>At the same time</w:t>
      </w:r>
      <w:r w:rsidR="00886CD6">
        <w:t>,</w:t>
      </w:r>
      <w:r w:rsidR="00CC2A4D">
        <w:t xml:space="preserve"> Scotland </w:t>
      </w:r>
      <w:r w:rsidR="00BD14AA">
        <w:t xml:space="preserve">will experience little increase in its </w:t>
      </w:r>
      <w:r w:rsidR="00CC2A4D">
        <w:t>efficienc</w:t>
      </w:r>
      <w:r w:rsidR="004310F5">
        <w:t>y</w:t>
      </w:r>
      <w:r w:rsidR="00BD14AA">
        <w:t>-</w:t>
      </w:r>
      <w:r w:rsidR="004310F5">
        <w:t xml:space="preserve">adjusted labour force, which is the </w:t>
      </w:r>
      <w:r w:rsidR="00CC2A4D">
        <w:t>population adjusted for age-specific labour force participation rates and age productivity profiles</w:t>
      </w:r>
      <w:r w:rsidR="004310F5">
        <w:t>. T</w:t>
      </w:r>
      <w:r w:rsidR="00CC2A4D">
        <w:t xml:space="preserve">his accumulation of capital will produce </w:t>
      </w:r>
      <w:r w:rsidR="00886CD6">
        <w:t xml:space="preserve">an </w:t>
      </w:r>
      <w:r w:rsidR="00CA2E48">
        <w:t>increase in output</w:t>
      </w:r>
      <w:r w:rsidR="00CC2A4D">
        <w:t xml:space="preserve">. </w:t>
      </w:r>
      <w:r w:rsidR="00CA2E48">
        <w:t>This is shown in Figure 3, which shows the simulated changes in capital (capital stock</w:t>
      </w:r>
      <w:proofErr w:type="gramStart"/>
      <w:r w:rsidR="00CA2E48">
        <w:t>),</w:t>
      </w:r>
      <w:proofErr w:type="gramEnd"/>
      <w:r w:rsidR="00CA2E48">
        <w:t xml:space="preserve"> labour (productivity-adjusted l</w:t>
      </w:r>
      <w:r w:rsidR="00147233">
        <w:t xml:space="preserve">abour force) and output (GDP). </w:t>
      </w:r>
      <w:r w:rsidR="00CA2E48">
        <w:t>The figure presents clear evidence of the c</w:t>
      </w:r>
      <w:r w:rsidR="00987DF2">
        <w:t>apital accumulation lead</w:t>
      </w:r>
      <w:r w:rsidR="00CA2E48">
        <w:t xml:space="preserve">ing to capital deepening. The simulated change in output over the period is </w:t>
      </w:r>
      <w:r w:rsidR="008E4BC6">
        <w:t xml:space="preserve">3.8%. </w:t>
      </w:r>
      <w:r w:rsidR="00CA2E48">
        <w:t>This growth is almost totally driven by changes in capital with labour only making a minor contribution.</w:t>
      </w:r>
    </w:p>
    <w:p w:rsidR="00CA2E48" w:rsidRDefault="003C3DB7" w:rsidP="00F87985">
      <w:pPr>
        <w:tabs>
          <w:tab w:val="left" w:pos="1560"/>
        </w:tabs>
        <w:spacing w:line="480" w:lineRule="auto"/>
        <w:jc w:val="both"/>
      </w:pPr>
      <w:r>
        <w:rPr>
          <w:noProof/>
        </w:rPr>
        <w:lastRenderedPageBreak/>
        <w:drawing>
          <wp:inline distT="0" distB="0" distL="0" distR="0">
            <wp:extent cx="5274310" cy="3729355"/>
            <wp:effectExtent l="0" t="0" r="254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ya-Marcel-Robert Figure 3.jpg"/>
                    <pic:cNvPicPr/>
                  </pic:nvPicPr>
                  <pic:blipFill>
                    <a:blip r:embed="rId7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3729355"/>
                    </a:xfrm>
                    <a:prstGeom prst="rect">
                      <a:avLst/>
                    </a:prstGeom>
                  </pic:spPr>
                </pic:pic>
              </a:graphicData>
            </a:graphic>
          </wp:inline>
        </w:drawing>
      </w:r>
    </w:p>
    <w:p w:rsidR="00CA2E48" w:rsidRDefault="004310F5" w:rsidP="00CA2E48">
      <w:pPr>
        <w:spacing w:line="480" w:lineRule="auto"/>
        <w:ind w:firstLine="720"/>
        <w:jc w:val="both"/>
      </w:pPr>
      <w:r>
        <w:t xml:space="preserve">As </w:t>
      </w:r>
      <w:r w:rsidR="00A1127B">
        <w:t>mentioned above</w:t>
      </w:r>
      <w:r w:rsidR="00886CD6">
        <w:t>,</w:t>
      </w:r>
      <w:r w:rsidR="00A1127B">
        <w:t xml:space="preserve"> </w:t>
      </w:r>
      <w:r w:rsidR="00665B80">
        <w:t xml:space="preserve">in the model </w:t>
      </w:r>
      <w:r w:rsidR="008E4BC6">
        <w:t xml:space="preserve">public </w:t>
      </w:r>
      <w:r w:rsidR="00665B80">
        <w:t>expenditure</w:t>
      </w:r>
      <w:r w:rsidR="008E4BC6">
        <w:t>s</w:t>
      </w:r>
      <w:r w:rsidR="00665B80">
        <w:t xml:space="preserve"> </w:t>
      </w:r>
      <w:r w:rsidR="008E4BC6">
        <w:t>are</w:t>
      </w:r>
      <w:r w:rsidR="00665B80">
        <w:t xml:space="preserve"> </w:t>
      </w:r>
      <w:r w:rsidR="00356198">
        <w:t>disaggregated</w:t>
      </w:r>
      <w:r w:rsidR="00A1127B">
        <w:t xml:space="preserve">. </w:t>
      </w:r>
      <w:r w:rsidR="00665B80">
        <w:t>Two components of expenditure</w:t>
      </w:r>
      <w:r w:rsidR="008E4BC6">
        <w:t>s</w:t>
      </w:r>
      <w:r w:rsidR="00665B80">
        <w:t xml:space="preserve"> are assumed to be age-dependent—h</w:t>
      </w:r>
      <w:r w:rsidR="00A1127B">
        <w:t>ealth</w:t>
      </w:r>
      <w:r>
        <w:t>-related</w:t>
      </w:r>
      <w:r w:rsidR="00A1127B">
        <w:t xml:space="preserve"> and education</w:t>
      </w:r>
      <w:r>
        <w:t>-</w:t>
      </w:r>
      <w:r w:rsidR="00665B80">
        <w:t>related expenditure</w:t>
      </w:r>
      <w:r w:rsidR="008E4BC6">
        <w:t>s</w:t>
      </w:r>
      <w:r w:rsidR="00665B80">
        <w:t xml:space="preserve">. The remaining components of </w:t>
      </w:r>
      <w:r w:rsidR="008E4BC6">
        <w:t xml:space="preserve">public </w:t>
      </w:r>
      <w:r w:rsidR="00665B80">
        <w:t>expenditure</w:t>
      </w:r>
      <w:r w:rsidR="008E4BC6">
        <w:t>s</w:t>
      </w:r>
      <w:r w:rsidR="00665B80">
        <w:t xml:space="preserve"> are </w:t>
      </w:r>
      <w:r w:rsidR="00A1127B">
        <w:t>assumed to grow proportionally to total popu</w:t>
      </w:r>
      <w:r w:rsidR="00D9479A">
        <w:t>lation leaving spending per-capita</w:t>
      </w:r>
      <w:r w:rsidR="00A1127B">
        <w:t xml:space="preserve"> unchanged over time. Age-</w:t>
      </w:r>
      <w:r w:rsidR="002E5786">
        <w:t xml:space="preserve">dependent </w:t>
      </w:r>
      <w:r w:rsidR="00665B80">
        <w:t>public expenditure</w:t>
      </w:r>
      <w:r w:rsidR="008E4BC6">
        <w:t>s</w:t>
      </w:r>
      <w:r w:rsidR="00665B80">
        <w:t xml:space="preserve"> </w:t>
      </w:r>
      <w:r w:rsidR="008E4BC6">
        <w:t>are</w:t>
      </w:r>
      <w:r w:rsidR="00665B80">
        <w:t xml:space="preserve"> assumed to stay the same per-</w:t>
      </w:r>
      <w:r w:rsidR="00A1127B">
        <w:t xml:space="preserve">person of specific age. </w:t>
      </w:r>
      <w:r w:rsidR="00665B80">
        <w:t xml:space="preserve">Therefore, </w:t>
      </w:r>
      <w:r w:rsidR="00A1127B">
        <w:t xml:space="preserve">as </w:t>
      </w:r>
      <w:r w:rsidR="002E5786">
        <w:t xml:space="preserve">the age </w:t>
      </w:r>
      <w:r w:rsidR="00A1127B">
        <w:t xml:space="preserve">structure of </w:t>
      </w:r>
      <w:r w:rsidR="00665B80">
        <w:t xml:space="preserve">the </w:t>
      </w:r>
      <w:r w:rsidR="00A1127B">
        <w:t>population changes</w:t>
      </w:r>
      <w:r w:rsidR="00665B80">
        <w:t>,</w:t>
      </w:r>
      <w:r w:rsidR="00A1127B">
        <w:t xml:space="preserve"> the total age-depend</w:t>
      </w:r>
      <w:r w:rsidR="002E5786">
        <w:t>e</w:t>
      </w:r>
      <w:r w:rsidR="00A1127B">
        <w:t xml:space="preserve">nt </w:t>
      </w:r>
      <w:r w:rsidR="00B37D00">
        <w:t xml:space="preserve">public </w:t>
      </w:r>
      <w:r w:rsidR="00A1127B">
        <w:t xml:space="preserve">consumption categories </w:t>
      </w:r>
      <w:r w:rsidR="00665B80">
        <w:t xml:space="preserve">also </w:t>
      </w:r>
      <w:r w:rsidR="00A1127B">
        <w:t>change</w:t>
      </w:r>
      <w:r w:rsidR="00665B80">
        <w:t>.</w:t>
      </w:r>
      <w:r w:rsidR="00665B80">
        <w:rPr>
          <w:color w:val="FF0000"/>
        </w:rPr>
        <w:t xml:space="preserve"> </w:t>
      </w:r>
      <w:r w:rsidR="00665B80">
        <w:t>With population ageing, the</w:t>
      </w:r>
      <w:r w:rsidR="002E5786">
        <w:t xml:space="preserve"> </w:t>
      </w:r>
      <w:r w:rsidR="00A1127B">
        <w:t xml:space="preserve">number of </w:t>
      </w:r>
      <w:r w:rsidR="00665B80">
        <w:t>individuals</w:t>
      </w:r>
      <w:r w:rsidR="00A1127B">
        <w:t xml:space="preserve"> </w:t>
      </w:r>
      <w:r w:rsidR="00665B80">
        <w:t xml:space="preserve">eligible </w:t>
      </w:r>
      <w:r w:rsidR="00A1127B">
        <w:t>for public pensions increases</w:t>
      </w:r>
      <w:r w:rsidR="00665B80">
        <w:t>. It is assumed that the pension amount per-person is constant so government expenditure</w:t>
      </w:r>
      <w:r w:rsidR="008E4BC6">
        <w:t>s</w:t>
      </w:r>
      <w:r w:rsidR="00665B80">
        <w:t xml:space="preserve"> on pensions will increase.</w:t>
      </w:r>
    </w:p>
    <w:p w:rsidR="009B41EB" w:rsidRDefault="00A1127B" w:rsidP="003C3DB7">
      <w:pPr>
        <w:spacing w:line="480" w:lineRule="auto"/>
        <w:ind w:firstLine="720"/>
        <w:jc w:val="both"/>
      </w:pPr>
      <w:r>
        <w:t xml:space="preserve">The evolution of various components of </w:t>
      </w:r>
      <w:r w:rsidR="008E4BC6">
        <w:t xml:space="preserve">public </w:t>
      </w:r>
      <w:r w:rsidR="00BD14AA">
        <w:t>expenditure</w:t>
      </w:r>
      <w:r w:rsidR="008E4BC6">
        <w:t>s</w:t>
      </w:r>
      <w:r w:rsidR="00BD14AA">
        <w:t xml:space="preserve"> </w:t>
      </w:r>
      <w:r w:rsidR="008E4BC6">
        <w:t>i</w:t>
      </w:r>
      <w:r w:rsidR="00BD14AA">
        <w:t>s</w:t>
      </w:r>
      <w:r w:rsidR="000D7ADA">
        <w:t xml:space="preserve"> shown</w:t>
      </w:r>
      <w:r>
        <w:t xml:space="preserve"> </w:t>
      </w:r>
      <w:r w:rsidR="002E5786">
        <w:t xml:space="preserve">in </w:t>
      </w:r>
      <w:r>
        <w:t xml:space="preserve">Figure </w:t>
      </w:r>
      <w:r w:rsidR="00D770DB">
        <w:t>4</w:t>
      </w:r>
      <w:r>
        <w:t>.</w:t>
      </w:r>
      <w:r w:rsidR="000D7ADA">
        <w:t xml:space="preserve"> The figure </w:t>
      </w:r>
      <w:r w:rsidR="006014E3">
        <w:t>show</w:t>
      </w:r>
      <w:r w:rsidR="008E4BC6">
        <w:t>s</w:t>
      </w:r>
      <w:r w:rsidR="006014E3">
        <w:t xml:space="preserve"> </w:t>
      </w:r>
      <w:r w:rsidR="00A64FE2">
        <w:t>that age</w:t>
      </w:r>
      <w:r w:rsidR="006014E3">
        <w:t>-independent government expenditure</w:t>
      </w:r>
      <w:r w:rsidR="008E4BC6">
        <w:t>s</w:t>
      </w:r>
      <w:r w:rsidR="00A64FE2">
        <w:t xml:space="preserve"> increase at the same rate as</w:t>
      </w:r>
      <w:r w:rsidR="006014E3">
        <w:t xml:space="preserve"> the</w:t>
      </w:r>
      <w:r w:rsidR="00A64FE2">
        <w:t xml:space="preserve"> total population</w:t>
      </w:r>
      <w:r w:rsidR="006014E3">
        <w:t>. Likewise, government expenditure</w:t>
      </w:r>
      <w:r w:rsidR="008E4BC6">
        <w:t>s</w:t>
      </w:r>
      <w:r w:rsidR="006014E3">
        <w:t xml:space="preserve"> on pensions increase </w:t>
      </w:r>
      <w:r w:rsidR="00A64FE2">
        <w:t xml:space="preserve">at the same rate as </w:t>
      </w:r>
      <w:r w:rsidR="006014E3">
        <w:t xml:space="preserve">the </w:t>
      </w:r>
      <w:r w:rsidR="00A64FE2">
        <w:t xml:space="preserve">population aged 65+. </w:t>
      </w:r>
      <w:r w:rsidR="006014E3">
        <w:t>H</w:t>
      </w:r>
      <w:r w:rsidR="00A64FE2">
        <w:t>ealth</w:t>
      </w:r>
      <w:r w:rsidR="006014E3">
        <w:t>-related</w:t>
      </w:r>
      <w:r w:rsidR="00A64FE2">
        <w:t xml:space="preserve"> </w:t>
      </w:r>
      <w:r w:rsidR="006014E3">
        <w:t>expenditure</w:t>
      </w:r>
      <w:r w:rsidR="008E4BC6">
        <w:t>s</w:t>
      </w:r>
      <w:r w:rsidR="006014E3">
        <w:t xml:space="preserve"> </w:t>
      </w:r>
      <w:r w:rsidR="006014E3">
        <w:lastRenderedPageBreak/>
        <w:t>increase at a rate greater than the increase in the</w:t>
      </w:r>
      <w:r w:rsidR="00A64FE2">
        <w:t xml:space="preserve"> total populat</w:t>
      </w:r>
      <w:r w:rsidR="006014E3">
        <w:t>ion because health spending per-</w:t>
      </w:r>
      <w:r w:rsidR="00A64FE2">
        <w:t>person is higher at older ages</w:t>
      </w:r>
      <w:r w:rsidR="006014E3">
        <w:t xml:space="preserve"> (see Figure 1)</w:t>
      </w:r>
      <w:r w:rsidR="00A64FE2">
        <w:t>. Education</w:t>
      </w:r>
      <w:r w:rsidR="006014E3">
        <w:t>-related</w:t>
      </w:r>
      <w:r w:rsidR="00A64FE2">
        <w:t xml:space="preserve"> </w:t>
      </w:r>
      <w:r w:rsidR="006014E3">
        <w:t>expenditure</w:t>
      </w:r>
      <w:r w:rsidR="008E4BC6">
        <w:t>s</w:t>
      </w:r>
      <w:r w:rsidR="006014E3">
        <w:t xml:space="preserve"> increase </w:t>
      </w:r>
      <w:r w:rsidR="00DA679D">
        <w:t xml:space="preserve">more slowly </w:t>
      </w:r>
      <w:r w:rsidR="00A64FE2">
        <w:t xml:space="preserve">than </w:t>
      </w:r>
      <w:r w:rsidR="00DA679D">
        <w:t xml:space="preserve">the </w:t>
      </w:r>
      <w:r w:rsidR="00A64FE2">
        <w:t>total populati</w:t>
      </w:r>
      <w:r w:rsidR="006014E3">
        <w:t>on because it is concentrated in</w:t>
      </w:r>
      <w:r w:rsidR="00A64FE2">
        <w:t xml:space="preserve"> </w:t>
      </w:r>
      <w:r w:rsidR="006014E3">
        <w:t xml:space="preserve">the </w:t>
      </w:r>
      <w:r w:rsidR="00DA679D">
        <w:t xml:space="preserve">younger </w:t>
      </w:r>
      <w:r w:rsidR="00A64FE2">
        <w:t>ages.</w:t>
      </w:r>
      <w:r w:rsidR="00BC552A">
        <w:t xml:space="preserve"> </w:t>
      </w:r>
      <w:r w:rsidR="006014E3">
        <w:t xml:space="preserve">A key finding is that the model suggests that </w:t>
      </w:r>
      <w:r w:rsidR="00D71F59">
        <w:t>government expenditure</w:t>
      </w:r>
      <w:r w:rsidR="008E4BC6">
        <w:t>s</w:t>
      </w:r>
      <w:r w:rsidR="00D71F59">
        <w:t xml:space="preserve"> </w:t>
      </w:r>
      <w:r w:rsidR="00BC552A">
        <w:t xml:space="preserve">will grow during the next century at </w:t>
      </w:r>
      <w:r w:rsidR="00DA679D">
        <w:t xml:space="preserve">a </w:t>
      </w:r>
      <w:r w:rsidR="00BC552A">
        <w:t>rate twice as fast as the growth ra</w:t>
      </w:r>
      <w:r w:rsidR="00D71F59">
        <w:t xml:space="preserve">te of </w:t>
      </w:r>
      <w:r w:rsidR="008E4BC6">
        <w:t xml:space="preserve">the </w:t>
      </w:r>
      <w:r w:rsidR="00D71F59">
        <w:t>total population and over eleven</w:t>
      </w:r>
      <w:r w:rsidR="00BC552A">
        <w:t xml:space="preserve"> times as fast as the growth rate of GDP. </w:t>
      </w:r>
      <w:r w:rsidR="00D71F59">
        <w:t xml:space="preserve">It is worth noting that this </w:t>
      </w:r>
      <w:r w:rsidR="00BC552A">
        <w:t>assum</w:t>
      </w:r>
      <w:r w:rsidR="00D71F59">
        <w:t xml:space="preserve">es </w:t>
      </w:r>
      <w:r w:rsidR="00BC552A">
        <w:t>that spending per</w:t>
      </w:r>
      <w:r w:rsidR="00D71F59">
        <w:t>-</w:t>
      </w:r>
      <w:r w:rsidR="00BC552A">
        <w:t>pers</w:t>
      </w:r>
      <w:r w:rsidR="00FF7C1E">
        <w:t xml:space="preserve">on </w:t>
      </w:r>
      <w:r w:rsidR="008E4BC6">
        <w:t xml:space="preserve">of </w:t>
      </w:r>
      <w:r w:rsidR="00FF7C1E">
        <w:t xml:space="preserve">a </w:t>
      </w:r>
      <w:r w:rsidR="00D71F59">
        <w:t xml:space="preserve">specific age is </w:t>
      </w:r>
      <w:r w:rsidR="00BC552A">
        <w:t>constant.</w:t>
      </w:r>
    </w:p>
    <w:p w:rsidR="00B465DB" w:rsidRDefault="003C3DB7" w:rsidP="00B465DB">
      <w:pPr>
        <w:spacing w:before="120" w:after="120" w:line="480" w:lineRule="auto"/>
        <w:jc w:val="both"/>
      </w:pPr>
      <w:r>
        <w:rPr>
          <w:noProof/>
        </w:rPr>
        <w:drawing>
          <wp:inline distT="0" distB="0" distL="0" distR="0">
            <wp:extent cx="5274310" cy="3729355"/>
            <wp:effectExtent l="0" t="0" r="254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ya-Marcel-Robert Figure 4.jpg"/>
                    <pic:cNvPicPr/>
                  </pic:nvPicPr>
                  <pic:blipFill>
                    <a:blip r:embed="rId7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3729355"/>
                    </a:xfrm>
                    <a:prstGeom prst="rect">
                      <a:avLst/>
                    </a:prstGeom>
                  </pic:spPr>
                </pic:pic>
              </a:graphicData>
            </a:graphic>
          </wp:inline>
        </w:drawing>
      </w:r>
    </w:p>
    <w:p w:rsidR="00B465DB" w:rsidRPr="005A6FC7" w:rsidRDefault="00B465DB" w:rsidP="00B465DB">
      <w:pPr>
        <w:spacing w:before="120" w:after="120" w:line="480" w:lineRule="auto"/>
        <w:ind w:firstLine="709"/>
        <w:jc w:val="both"/>
      </w:pPr>
      <w:r>
        <w:t xml:space="preserve">Scotland will not be able to finance this high level of public spending by local taxes. For the baseline scenario we assumed that this deficit is financed by an external transfer. Under the current level of taxes and age-specific public spending per person, the deficit increases from 2.5% of GDP in 2006 to 19% of GDP in 2106. If we assume that the increase in pension payments will be financed by an increase in the pension contribution rate, </w:t>
      </w:r>
      <w:r w:rsidRPr="005A6FC7">
        <w:t xml:space="preserve">then the deficit in 2106 reduces to 14% of GDP with the </w:t>
      </w:r>
      <w:r w:rsidRPr="005A6FC7">
        <w:lastRenderedPageBreak/>
        <w:t xml:space="preserve">contribution rate increasing from the current effective rate of 6.8% of wage income to 14.7%. </w:t>
      </w:r>
    </w:p>
    <w:p w:rsidR="008B5B6F" w:rsidRPr="008B5B6F" w:rsidRDefault="005943A8" w:rsidP="008D7F87">
      <w:pPr>
        <w:pStyle w:val="FootnoteText"/>
        <w:spacing w:line="480" w:lineRule="auto"/>
        <w:ind w:firstLine="720"/>
        <w:jc w:val="both"/>
        <w:rPr>
          <w:color w:val="000000" w:themeColor="text1"/>
          <w:sz w:val="24"/>
          <w:szCs w:val="24"/>
        </w:rPr>
      </w:pPr>
      <w:r w:rsidRPr="005A6FC7">
        <w:rPr>
          <w:sz w:val="24"/>
          <w:szCs w:val="24"/>
        </w:rPr>
        <w:t xml:space="preserve">The </w:t>
      </w:r>
      <w:r w:rsidR="00D71F59">
        <w:rPr>
          <w:sz w:val="24"/>
          <w:szCs w:val="24"/>
        </w:rPr>
        <w:t xml:space="preserve">output </w:t>
      </w:r>
      <w:r w:rsidRPr="005A6FC7">
        <w:rPr>
          <w:sz w:val="24"/>
          <w:szCs w:val="24"/>
        </w:rPr>
        <w:t xml:space="preserve">effects of </w:t>
      </w:r>
      <w:r w:rsidR="00D71F59">
        <w:rPr>
          <w:sz w:val="24"/>
          <w:szCs w:val="24"/>
        </w:rPr>
        <w:t xml:space="preserve">population </w:t>
      </w:r>
      <w:r w:rsidRPr="005A6FC7">
        <w:rPr>
          <w:sz w:val="24"/>
          <w:szCs w:val="24"/>
        </w:rPr>
        <w:t>ageing can b</w:t>
      </w:r>
      <w:r w:rsidR="000D7ADA" w:rsidRPr="005A6FC7">
        <w:rPr>
          <w:sz w:val="24"/>
          <w:szCs w:val="24"/>
        </w:rPr>
        <w:t>e decomposed into two components</w:t>
      </w:r>
      <w:r w:rsidRPr="005A6FC7">
        <w:rPr>
          <w:sz w:val="24"/>
          <w:szCs w:val="24"/>
        </w:rPr>
        <w:t xml:space="preserve">. </w:t>
      </w:r>
      <w:r w:rsidR="00C340D2" w:rsidRPr="005A6FC7">
        <w:rPr>
          <w:sz w:val="24"/>
          <w:szCs w:val="24"/>
        </w:rPr>
        <w:t>The f</w:t>
      </w:r>
      <w:r w:rsidRPr="005A6FC7">
        <w:rPr>
          <w:sz w:val="24"/>
          <w:szCs w:val="24"/>
        </w:rPr>
        <w:t>irst</w:t>
      </w:r>
      <w:r w:rsidR="000D7ADA" w:rsidRPr="005A6FC7">
        <w:rPr>
          <w:sz w:val="24"/>
          <w:szCs w:val="24"/>
        </w:rPr>
        <w:t xml:space="preserve"> component </w:t>
      </w:r>
      <w:r w:rsidR="00EF1B81">
        <w:rPr>
          <w:sz w:val="24"/>
          <w:szCs w:val="24"/>
        </w:rPr>
        <w:t>can be considered</w:t>
      </w:r>
      <w:r w:rsidR="00BD14AA">
        <w:rPr>
          <w:sz w:val="24"/>
          <w:szCs w:val="24"/>
        </w:rPr>
        <w:t xml:space="preserve"> to be</w:t>
      </w:r>
      <w:r w:rsidR="00EF1B81">
        <w:rPr>
          <w:sz w:val="24"/>
          <w:szCs w:val="24"/>
        </w:rPr>
        <w:t xml:space="preserve"> a “size” or “</w:t>
      </w:r>
      <w:r w:rsidR="00D71F59">
        <w:rPr>
          <w:sz w:val="24"/>
          <w:szCs w:val="24"/>
        </w:rPr>
        <w:t xml:space="preserve">scale” effect. This consists </w:t>
      </w:r>
      <w:r w:rsidR="00EF1B81">
        <w:rPr>
          <w:sz w:val="24"/>
          <w:szCs w:val="24"/>
        </w:rPr>
        <w:t>of the effects</w:t>
      </w:r>
      <w:r w:rsidR="005A6FC7">
        <w:rPr>
          <w:sz w:val="24"/>
          <w:szCs w:val="24"/>
        </w:rPr>
        <w:t xml:space="preserve"> generated by </w:t>
      </w:r>
      <w:r w:rsidR="000D7ADA" w:rsidRPr="005A6FC7">
        <w:rPr>
          <w:sz w:val="24"/>
          <w:szCs w:val="24"/>
        </w:rPr>
        <w:t>changes in</w:t>
      </w:r>
      <w:r w:rsidR="00215341" w:rsidRPr="005A6FC7">
        <w:rPr>
          <w:sz w:val="24"/>
          <w:szCs w:val="24"/>
        </w:rPr>
        <w:t xml:space="preserve"> </w:t>
      </w:r>
      <w:r w:rsidRPr="005A6FC7">
        <w:rPr>
          <w:sz w:val="24"/>
          <w:szCs w:val="24"/>
        </w:rPr>
        <w:t>population size</w:t>
      </w:r>
      <w:r w:rsidR="00215341" w:rsidRPr="005A6FC7">
        <w:rPr>
          <w:sz w:val="24"/>
          <w:szCs w:val="24"/>
        </w:rPr>
        <w:t xml:space="preserve"> and</w:t>
      </w:r>
      <w:r w:rsidRPr="005A6FC7">
        <w:rPr>
          <w:sz w:val="24"/>
          <w:szCs w:val="24"/>
        </w:rPr>
        <w:t xml:space="preserve"> </w:t>
      </w:r>
      <w:r w:rsidR="000D7ADA" w:rsidRPr="005A6FC7">
        <w:rPr>
          <w:sz w:val="24"/>
          <w:szCs w:val="24"/>
        </w:rPr>
        <w:t xml:space="preserve">changes in the </w:t>
      </w:r>
      <w:r w:rsidRPr="005A6FC7">
        <w:rPr>
          <w:sz w:val="24"/>
          <w:szCs w:val="24"/>
        </w:rPr>
        <w:t xml:space="preserve">size of </w:t>
      </w:r>
      <w:r w:rsidR="000D7ADA" w:rsidRPr="005A6FC7">
        <w:rPr>
          <w:sz w:val="24"/>
          <w:szCs w:val="24"/>
        </w:rPr>
        <w:t>key</w:t>
      </w:r>
      <w:r w:rsidRPr="005A6FC7">
        <w:rPr>
          <w:sz w:val="24"/>
          <w:szCs w:val="24"/>
        </w:rPr>
        <w:t xml:space="preserve"> population groups</w:t>
      </w:r>
      <w:r w:rsidR="00215341" w:rsidRPr="005A6FC7">
        <w:rPr>
          <w:sz w:val="24"/>
          <w:szCs w:val="24"/>
        </w:rPr>
        <w:t>. F</w:t>
      </w:r>
      <w:r w:rsidRPr="005A6FC7">
        <w:rPr>
          <w:sz w:val="24"/>
          <w:szCs w:val="24"/>
        </w:rPr>
        <w:t>or</w:t>
      </w:r>
      <w:r w:rsidR="00C340D2" w:rsidRPr="005A6FC7">
        <w:rPr>
          <w:sz w:val="24"/>
          <w:szCs w:val="24"/>
        </w:rPr>
        <w:t xml:space="preserve"> </w:t>
      </w:r>
      <w:r w:rsidRPr="005A6FC7">
        <w:rPr>
          <w:sz w:val="24"/>
          <w:szCs w:val="24"/>
        </w:rPr>
        <w:t>example</w:t>
      </w:r>
      <w:r w:rsidR="00C340D2" w:rsidRPr="005A6FC7">
        <w:rPr>
          <w:sz w:val="24"/>
          <w:szCs w:val="24"/>
        </w:rPr>
        <w:t>, the size of working</w:t>
      </w:r>
      <w:r w:rsidR="000D7ADA" w:rsidRPr="005A6FC7">
        <w:rPr>
          <w:sz w:val="24"/>
          <w:szCs w:val="24"/>
        </w:rPr>
        <w:t xml:space="preserve"> </w:t>
      </w:r>
      <w:r w:rsidR="005A6FC7" w:rsidRPr="005A6FC7">
        <w:rPr>
          <w:sz w:val="24"/>
          <w:szCs w:val="24"/>
        </w:rPr>
        <w:t>age population</w:t>
      </w:r>
      <w:r w:rsidR="00C340D2" w:rsidRPr="005A6FC7">
        <w:rPr>
          <w:sz w:val="24"/>
          <w:szCs w:val="24"/>
        </w:rPr>
        <w:t xml:space="preserve"> relative to non-working population</w:t>
      </w:r>
      <w:r w:rsidR="00215341" w:rsidRPr="005A6FC7">
        <w:rPr>
          <w:sz w:val="24"/>
          <w:szCs w:val="24"/>
        </w:rPr>
        <w:t xml:space="preserve"> </w:t>
      </w:r>
      <w:r w:rsidR="00BD14AA">
        <w:rPr>
          <w:sz w:val="24"/>
          <w:szCs w:val="24"/>
        </w:rPr>
        <w:t xml:space="preserve">(i.e. the </w:t>
      </w:r>
      <w:r w:rsidR="00F03E0E">
        <w:rPr>
          <w:sz w:val="24"/>
          <w:szCs w:val="24"/>
        </w:rPr>
        <w:t xml:space="preserve">support </w:t>
      </w:r>
      <w:r w:rsidR="00BD14AA">
        <w:rPr>
          <w:sz w:val="24"/>
          <w:szCs w:val="24"/>
        </w:rPr>
        <w:t xml:space="preserve">ratio) </w:t>
      </w:r>
      <w:r w:rsidR="00215341" w:rsidRPr="005A6FC7">
        <w:rPr>
          <w:sz w:val="24"/>
          <w:szCs w:val="24"/>
        </w:rPr>
        <w:t xml:space="preserve">or the size </w:t>
      </w:r>
      <w:r w:rsidR="00F03E0E">
        <w:rPr>
          <w:sz w:val="24"/>
          <w:szCs w:val="24"/>
        </w:rPr>
        <w:t xml:space="preserve">of </w:t>
      </w:r>
      <w:r w:rsidR="000D7ADA" w:rsidRPr="005A6FC7">
        <w:rPr>
          <w:sz w:val="24"/>
          <w:szCs w:val="24"/>
        </w:rPr>
        <w:t xml:space="preserve">population aged 65+ relative to the </w:t>
      </w:r>
      <w:r w:rsidR="00215341" w:rsidRPr="005A6FC7">
        <w:rPr>
          <w:sz w:val="24"/>
          <w:szCs w:val="24"/>
        </w:rPr>
        <w:t>total population.</w:t>
      </w:r>
      <w:r w:rsidR="000D7ADA" w:rsidRPr="005A6FC7">
        <w:rPr>
          <w:sz w:val="24"/>
          <w:szCs w:val="24"/>
        </w:rPr>
        <w:t xml:space="preserve"> The second component </w:t>
      </w:r>
      <w:r w:rsidR="005A6FC7">
        <w:rPr>
          <w:sz w:val="24"/>
          <w:szCs w:val="24"/>
        </w:rPr>
        <w:t>consists of what can be termed “</w:t>
      </w:r>
      <w:r w:rsidR="005F6F59">
        <w:rPr>
          <w:sz w:val="24"/>
          <w:szCs w:val="24"/>
        </w:rPr>
        <w:t>age-specific</w:t>
      </w:r>
      <w:r w:rsidR="00C340D2" w:rsidRPr="005A6FC7">
        <w:rPr>
          <w:sz w:val="24"/>
          <w:szCs w:val="24"/>
        </w:rPr>
        <w:t xml:space="preserve"> </w:t>
      </w:r>
      <w:r w:rsidR="00215341" w:rsidRPr="005A6FC7">
        <w:rPr>
          <w:sz w:val="24"/>
          <w:szCs w:val="24"/>
        </w:rPr>
        <w:t>effects</w:t>
      </w:r>
      <w:r w:rsidR="005A6FC7">
        <w:rPr>
          <w:sz w:val="24"/>
          <w:szCs w:val="24"/>
        </w:rPr>
        <w:t>”</w:t>
      </w:r>
      <w:r w:rsidR="000D7ADA" w:rsidRPr="005A6FC7">
        <w:rPr>
          <w:sz w:val="24"/>
          <w:szCs w:val="24"/>
        </w:rPr>
        <w:t xml:space="preserve">. </w:t>
      </w:r>
      <w:r w:rsidR="005A6FC7">
        <w:rPr>
          <w:sz w:val="24"/>
          <w:szCs w:val="24"/>
        </w:rPr>
        <w:t xml:space="preserve">These effects are generated </w:t>
      </w:r>
      <w:r w:rsidR="00EF1B81">
        <w:rPr>
          <w:sz w:val="24"/>
          <w:szCs w:val="24"/>
        </w:rPr>
        <w:t xml:space="preserve">by </w:t>
      </w:r>
      <w:r w:rsidR="00EF1B81" w:rsidRPr="005A6FC7">
        <w:rPr>
          <w:sz w:val="24"/>
          <w:szCs w:val="24"/>
        </w:rPr>
        <w:t>individual</w:t>
      </w:r>
      <w:r w:rsidR="00215341" w:rsidRPr="005A6FC7">
        <w:rPr>
          <w:sz w:val="24"/>
          <w:szCs w:val="24"/>
        </w:rPr>
        <w:t xml:space="preserve"> behaviour, productivity and consumption </w:t>
      </w:r>
      <w:r w:rsidR="005A6FC7" w:rsidRPr="005A6FC7">
        <w:rPr>
          <w:sz w:val="24"/>
          <w:szCs w:val="24"/>
        </w:rPr>
        <w:t xml:space="preserve">that </w:t>
      </w:r>
      <w:r w:rsidR="00D71F59" w:rsidRPr="005A6FC7">
        <w:rPr>
          <w:sz w:val="24"/>
          <w:szCs w:val="24"/>
        </w:rPr>
        <w:t>depend</w:t>
      </w:r>
      <w:r w:rsidR="00215341" w:rsidRPr="005A6FC7">
        <w:rPr>
          <w:sz w:val="24"/>
          <w:szCs w:val="24"/>
        </w:rPr>
        <w:t xml:space="preserve"> on age. </w:t>
      </w:r>
      <w:r w:rsidR="005A6FC7" w:rsidRPr="005A6FC7">
        <w:rPr>
          <w:sz w:val="24"/>
          <w:szCs w:val="24"/>
        </w:rPr>
        <w:t xml:space="preserve">The model has three main age-specific features. The first is </w:t>
      </w:r>
      <w:r w:rsidR="005F6F59">
        <w:rPr>
          <w:sz w:val="24"/>
          <w:szCs w:val="24"/>
        </w:rPr>
        <w:t>age-specific</w:t>
      </w:r>
      <w:r w:rsidR="00A06425" w:rsidRPr="005A6FC7">
        <w:rPr>
          <w:sz w:val="24"/>
          <w:szCs w:val="24"/>
        </w:rPr>
        <w:t xml:space="preserve"> labour force participation rates</w:t>
      </w:r>
      <w:r w:rsidR="00BD14AA">
        <w:rPr>
          <w:sz w:val="24"/>
          <w:szCs w:val="24"/>
        </w:rPr>
        <w:t xml:space="preserve">. The second is </w:t>
      </w:r>
      <w:r w:rsidR="005F6F59">
        <w:rPr>
          <w:sz w:val="24"/>
          <w:szCs w:val="24"/>
        </w:rPr>
        <w:t>age-specific</w:t>
      </w:r>
      <w:r w:rsidR="00A06425" w:rsidRPr="005A6FC7">
        <w:rPr>
          <w:sz w:val="24"/>
          <w:szCs w:val="24"/>
        </w:rPr>
        <w:t xml:space="preserve"> productivity</w:t>
      </w:r>
      <w:r w:rsidR="005A6FC7" w:rsidRPr="005A6FC7">
        <w:rPr>
          <w:sz w:val="24"/>
          <w:szCs w:val="24"/>
        </w:rPr>
        <w:t xml:space="preserve">. The third is </w:t>
      </w:r>
      <w:r w:rsidR="005F6F59">
        <w:rPr>
          <w:sz w:val="24"/>
          <w:szCs w:val="24"/>
        </w:rPr>
        <w:t>age-specific</w:t>
      </w:r>
      <w:r w:rsidR="00A06425" w:rsidRPr="005A6FC7">
        <w:rPr>
          <w:sz w:val="24"/>
          <w:szCs w:val="24"/>
        </w:rPr>
        <w:t xml:space="preserve"> government </w:t>
      </w:r>
      <w:r w:rsidR="00A06425" w:rsidRPr="00EF1B81">
        <w:rPr>
          <w:sz w:val="24"/>
          <w:szCs w:val="24"/>
        </w:rPr>
        <w:t>spending on health and education</w:t>
      </w:r>
      <w:r w:rsidR="005A6FC7" w:rsidRPr="00EF1B81">
        <w:rPr>
          <w:sz w:val="24"/>
          <w:szCs w:val="24"/>
        </w:rPr>
        <w:t xml:space="preserve">. It is also worth noting that consumption is also </w:t>
      </w:r>
      <w:r w:rsidR="005F6F59">
        <w:rPr>
          <w:sz w:val="24"/>
          <w:szCs w:val="24"/>
        </w:rPr>
        <w:t>age-specific</w:t>
      </w:r>
      <w:r w:rsidR="00BD14AA">
        <w:rPr>
          <w:sz w:val="24"/>
          <w:szCs w:val="24"/>
        </w:rPr>
        <w:t xml:space="preserve">, </w:t>
      </w:r>
      <w:r w:rsidR="00F03E0E">
        <w:rPr>
          <w:sz w:val="24"/>
          <w:szCs w:val="24"/>
        </w:rPr>
        <w:t xml:space="preserve">and it is </w:t>
      </w:r>
      <w:r w:rsidR="008D7F87">
        <w:rPr>
          <w:sz w:val="24"/>
          <w:szCs w:val="24"/>
        </w:rPr>
        <w:t>calib</w:t>
      </w:r>
      <w:r w:rsidR="008D7F87" w:rsidRPr="00EF1B81">
        <w:rPr>
          <w:sz w:val="24"/>
          <w:szCs w:val="24"/>
        </w:rPr>
        <w:t>rate</w:t>
      </w:r>
      <w:r w:rsidR="008D7F87">
        <w:rPr>
          <w:sz w:val="24"/>
          <w:szCs w:val="24"/>
        </w:rPr>
        <w:t>d</w:t>
      </w:r>
      <w:r w:rsidR="00F03E0E">
        <w:rPr>
          <w:sz w:val="24"/>
          <w:szCs w:val="24"/>
        </w:rPr>
        <w:t xml:space="preserve"> to fulfil household optimisation problem and</w:t>
      </w:r>
      <w:r w:rsidR="005A6FC7" w:rsidRPr="00EF1B81">
        <w:rPr>
          <w:sz w:val="24"/>
          <w:szCs w:val="24"/>
        </w:rPr>
        <w:t xml:space="preserve"> to </w:t>
      </w:r>
      <w:r w:rsidR="005A6FC7" w:rsidRPr="008B5B6F">
        <w:rPr>
          <w:color w:val="000000" w:themeColor="text1"/>
          <w:sz w:val="24"/>
          <w:szCs w:val="24"/>
        </w:rPr>
        <w:t>match aggregate consumption data.</w:t>
      </w:r>
      <w:r w:rsidR="0031367F">
        <w:rPr>
          <w:color w:val="000000" w:themeColor="text1"/>
          <w:sz w:val="24"/>
          <w:szCs w:val="24"/>
        </w:rPr>
        <w:t xml:space="preserve"> </w:t>
      </w:r>
      <w:r w:rsidR="005A6FC7" w:rsidRPr="008B5B6F">
        <w:rPr>
          <w:color w:val="000000" w:themeColor="text1"/>
          <w:sz w:val="24"/>
          <w:szCs w:val="24"/>
        </w:rPr>
        <w:t xml:space="preserve">These </w:t>
      </w:r>
      <w:r w:rsidR="005F6F59">
        <w:rPr>
          <w:color w:val="000000" w:themeColor="text1"/>
          <w:sz w:val="24"/>
          <w:szCs w:val="24"/>
        </w:rPr>
        <w:t>age-specific</w:t>
      </w:r>
      <w:r w:rsidR="00EF1B81" w:rsidRPr="008B5B6F">
        <w:rPr>
          <w:color w:val="000000" w:themeColor="text1"/>
          <w:sz w:val="24"/>
          <w:szCs w:val="24"/>
        </w:rPr>
        <w:t xml:space="preserve"> </w:t>
      </w:r>
      <w:r w:rsidR="005A6FC7" w:rsidRPr="008B5B6F">
        <w:rPr>
          <w:color w:val="000000" w:themeColor="text1"/>
          <w:sz w:val="24"/>
          <w:szCs w:val="24"/>
        </w:rPr>
        <w:t>features of the model (</w:t>
      </w:r>
      <w:r w:rsidR="00EF1B81" w:rsidRPr="008B5B6F">
        <w:rPr>
          <w:color w:val="000000" w:themeColor="text1"/>
          <w:sz w:val="24"/>
          <w:szCs w:val="24"/>
        </w:rPr>
        <w:t xml:space="preserve">with the </w:t>
      </w:r>
      <w:r w:rsidR="005A6FC7" w:rsidRPr="008B5B6F">
        <w:rPr>
          <w:color w:val="000000" w:themeColor="text1"/>
          <w:sz w:val="24"/>
          <w:szCs w:val="24"/>
        </w:rPr>
        <w:t>except</w:t>
      </w:r>
      <w:r w:rsidR="00EF1B81" w:rsidRPr="008B5B6F">
        <w:rPr>
          <w:color w:val="000000" w:themeColor="text1"/>
          <w:sz w:val="24"/>
          <w:szCs w:val="24"/>
        </w:rPr>
        <w:t>ion</w:t>
      </w:r>
      <w:r w:rsidR="005A6FC7" w:rsidRPr="008B5B6F">
        <w:rPr>
          <w:color w:val="000000" w:themeColor="text1"/>
          <w:sz w:val="24"/>
          <w:szCs w:val="24"/>
        </w:rPr>
        <w:t xml:space="preserve"> </w:t>
      </w:r>
      <w:r w:rsidR="008E4BC6">
        <w:rPr>
          <w:color w:val="000000" w:themeColor="text1"/>
          <w:sz w:val="24"/>
          <w:szCs w:val="24"/>
        </w:rPr>
        <w:t xml:space="preserve">of </w:t>
      </w:r>
      <w:r w:rsidR="005A6FC7" w:rsidRPr="008B5B6F">
        <w:rPr>
          <w:color w:val="000000" w:themeColor="text1"/>
          <w:sz w:val="24"/>
          <w:szCs w:val="24"/>
        </w:rPr>
        <w:t xml:space="preserve">consumption) </w:t>
      </w:r>
      <w:r w:rsidR="00215341" w:rsidRPr="008B5B6F">
        <w:rPr>
          <w:color w:val="000000" w:themeColor="text1"/>
          <w:sz w:val="24"/>
          <w:szCs w:val="24"/>
        </w:rPr>
        <w:t>can be “switched</w:t>
      </w:r>
      <w:r w:rsidR="00D80CF9" w:rsidRPr="008B5B6F">
        <w:rPr>
          <w:color w:val="000000" w:themeColor="text1"/>
          <w:sz w:val="24"/>
          <w:szCs w:val="24"/>
        </w:rPr>
        <w:t xml:space="preserve"> on or</w:t>
      </w:r>
      <w:r w:rsidR="00215341" w:rsidRPr="008B5B6F">
        <w:rPr>
          <w:color w:val="000000" w:themeColor="text1"/>
          <w:sz w:val="24"/>
          <w:szCs w:val="24"/>
        </w:rPr>
        <w:t xml:space="preserve"> off</w:t>
      </w:r>
      <w:r w:rsidR="005E16B0" w:rsidRPr="008B5B6F">
        <w:rPr>
          <w:color w:val="000000" w:themeColor="text1"/>
          <w:sz w:val="24"/>
          <w:szCs w:val="24"/>
        </w:rPr>
        <w:t>”</w:t>
      </w:r>
      <w:r w:rsidR="005A6FC7" w:rsidRPr="008B5B6F">
        <w:rPr>
          <w:color w:val="000000" w:themeColor="text1"/>
          <w:sz w:val="24"/>
          <w:szCs w:val="24"/>
        </w:rPr>
        <w:t xml:space="preserve"> in order</w:t>
      </w:r>
      <w:r w:rsidR="008D7F87">
        <w:rPr>
          <w:color w:val="000000" w:themeColor="text1"/>
          <w:sz w:val="24"/>
          <w:szCs w:val="24"/>
        </w:rPr>
        <w:t xml:space="preserve"> to evaluate their relative </w:t>
      </w:r>
      <w:r w:rsidR="00EF1B81" w:rsidRPr="008B5B6F">
        <w:rPr>
          <w:color w:val="000000" w:themeColor="text1"/>
          <w:sz w:val="24"/>
          <w:szCs w:val="24"/>
        </w:rPr>
        <w:t>importance.</w:t>
      </w:r>
    </w:p>
    <w:p w:rsidR="00C45EBE" w:rsidRDefault="00B57E8C" w:rsidP="00C45EBE">
      <w:pPr>
        <w:pStyle w:val="FootnoteText"/>
        <w:spacing w:line="480" w:lineRule="auto"/>
        <w:ind w:firstLine="720"/>
        <w:jc w:val="both"/>
        <w:rPr>
          <w:color w:val="000000" w:themeColor="text1"/>
          <w:sz w:val="24"/>
          <w:szCs w:val="24"/>
        </w:rPr>
      </w:pPr>
      <w:r w:rsidRPr="008B5B6F">
        <w:rPr>
          <w:color w:val="000000" w:themeColor="text1"/>
          <w:sz w:val="24"/>
          <w:szCs w:val="24"/>
        </w:rPr>
        <w:t xml:space="preserve">Figure 5 reports simulated changes in output with and without </w:t>
      </w:r>
      <w:r w:rsidR="005F6F59">
        <w:rPr>
          <w:color w:val="000000" w:themeColor="text1"/>
          <w:sz w:val="24"/>
          <w:szCs w:val="24"/>
        </w:rPr>
        <w:t>age-specific</w:t>
      </w:r>
      <w:r w:rsidR="00C3739C" w:rsidRPr="008B5B6F">
        <w:rPr>
          <w:color w:val="000000" w:themeColor="text1"/>
          <w:sz w:val="24"/>
          <w:szCs w:val="24"/>
        </w:rPr>
        <w:t xml:space="preserve"> </w:t>
      </w:r>
      <w:r w:rsidRPr="008B5B6F">
        <w:rPr>
          <w:color w:val="000000" w:themeColor="text1"/>
          <w:sz w:val="24"/>
          <w:szCs w:val="24"/>
        </w:rPr>
        <w:t xml:space="preserve">effects. When </w:t>
      </w:r>
      <w:r w:rsidR="005F6F59">
        <w:rPr>
          <w:color w:val="000000" w:themeColor="text1"/>
          <w:sz w:val="24"/>
          <w:szCs w:val="24"/>
        </w:rPr>
        <w:t>age-specific</w:t>
      </w:r>
      <w:r w:rsidR="00C3739C" w:rsidRPr="008B5B6F">
        <w:rPr>
          <w:color w:val="000000" w:themeColor="text1"/>
          <w:sz w:val="24"/>
          <w:szCs w:val="24"/>
        </w:rPr>
        <w:t xml:space="preserve"> </w:t>
      </w:r>
      <w:r w:rsidRPr="008B5B6F">
        <w:rPr>
          <w:color w:val="000000" w:themeColor="text1"/>
          <w:sz w:val="24"/>
          <w:szCs w:val="24"/>
        </w:rPr>
        <w:t xml:space="preserve">effects are not taken into consideration, the change in output is lower, indicating that growth is affected by </w:t>
      </w:r>
      <w:r w:rsidR="008B5B6F" w:rsidRPr="008B5B6F">
        <w:rPr>
          <w:color w:val="000000" w:themeColor="text1"/>
          <w:sz w:val="24"/>
          <w:szCs w:val="24"/>
        </w:rPr>
        <w:t>the inclusion</w:t>
      </w:r>
      <w:r w:rsidRPr="008B5B6F">
        <w:rPr>
          <w:color w:val="000000" w:themeColor="text1"/>
          <w:sz w:val="24"/>
          <w:szCs w:val="24"/>
        </w:rPr>
        <w:t xml:space="preserve"> of age-specific labour force participation rates and age-specific prod</w:t>
      </w:r>
      <w:r w:rsidR="008B5B6F" w:rsidRPr="008B5B6F">
        <w:rPr>
          <w:color w:val="000000" w:themeColor="text1"/>
          <w:sz w:val="24"/>
          <w:szCs w:val="24"/>
        </w:rPr>
        <w:t xml:space="preserve">uctivity profiles. The inclusion of these effects </w:t>
      </w:r>
      <w:r w:rsidRPr="008B5B6F">
        <w:rPr>
          <w:color w:val="000000" w:themeColor="text1"/>
          <w:sz w:val="24"/>
          <w:szCs w:val="24"/>
        </w:rPr>
        <w:t>change</w:t>
      </w:r>
      <w:r w:rsidR="008B5B6F" w:rsidRPr="008B5B6F">
        <w:rPr>
          <w:color w:val="000000" w:themeColor="text1"/>
          <w:sz w:val="24"/>
          <w:szCs w:val="24"/>
        </w:rPr>
        <w:t>s</w:t>
      </w:r>
      <w:r w:rsidRPr="008B5B6F">
        <w:rPr>
          <w:color w:val="000000" w:themeColor="text1"/>
          <w:sz w:val="24"/>
          <w:szCs w:val="24"/>
        </w:rPr>
        <w:t xml:space="preserve"> the size of productivity</w:t>
      </w:r>
      <w:r w:rsidR="008B5B6F" w:rsidRPr="008B5B6F">
        <w:rPr>
          <w:color w:val="000000" w:themeColor="text1"/>
          <w:sz w:val="24"/>
          <w:szCs w:val="24"/>
        </w:rPr>
        <w:t>-</w:t>
      </w:r>
      <w:r w:rsidRPr="008B5B6F">
        <w:rPr>
          <w:color w:val="000000" w:themeColor="text1"/>
          <w:sz w:val="24"/>
          <w:szCs w:val="24"/>
        </w:rPr>
        <w:t xml:space="preserve">adjusted labour force and </w:t>
      </w:r>
      <w:r w:rsidR="00621FFA">
        <w:rPr>
          <w:color w:val="000000" w:themeColor="text1"/>
          <w:sz w:val="24"/>
          <w:szCs w:val="24"/>
        </w:rPr>
        <w:t>the rate of capital accumulation</w:t>
      </w:r>
      <w:r w:rsidRPr="008B5B6F">
        <w:rPr>
          <w:color w:val="000000" w:themeColor="text1"/>
          <w:sz w:val="24"/>
          <w:szCs w:val="24"/>
        </w:rPr>
        <w:t xml:space="preserve"> by households.</w:t>
      </w:r>
    </w:p>
    <w:p w:rsidR="00621FFA" w:rsidRDefault="00621FFA" w:rsidP="00C3739C">
      <w:pPr>
        <w:pStyle w:val="FootnoteText"/>
        <w:spacing w:line="480" w:lineRule="auto"/>
        <w:jc w:val="both"/>
        <w:rPr>
          <w:noProof/>
          <w:color w:val="000000" w:themeColor="text1"/>
          <w:sz w:val="24"/>
          <w:szCs w:val="24"/>
        </w:rPr>
      </w:pPr>
      <w:r>
        <w:rPr>
          <w:noProof/>
          <w:color w:val="000000" w:themeColor="text1"/>
          <w:sz w:val="24"/>
          <w:szCs w:val="24"/>
        </w:rPr>
        <w:lastRenderedPageBreak/>
        <w:drawing>
          <wp:inline distT="0" distB="0" distL="0" distR="0">
            <wp:extent cx="5274310" cy="3729355"/>
            <wp:effectExtent l="0" t="0" r="254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ya-Marcel-Robert Figure 5.jpg"/>
                    <pic:cNvPicPr/>
                  </pic:nvPicPr>
                  <pic:blipFill>
                    <a:blip r:embed="rId7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3729355"/>
                    </a:xfrm>
                    <a:prstGeom prst="rect">
                      <a:avLst/>
                    </a:prstGeom>
                  </pic:spPr>
                </pic:pic>
              </a:graphicData>
            </a:graphic>
          </wp:inline>
        </w:drawing>
      </w:r>
    </w:p>
    <w:p w:rsidR="00B465DB" w:rsidRDefault="00C45EBE" w:rsidP="00B465DB">
      <w:pPr>
        <w:spacing w:before="120" w:after="120" w:line="480" w:lineRule="auto"/>
        <w:jc w:val="both"/>
        <w:rPr>
          <w:color w:val="000000" w:themeColor="text1"/>
        </w:rPr>
      </w:pPr>
      <w:r>
        <w:rPr>
          <w:noProof/>
          <w:color w:val="000000" w:themeColor="text1"/>
        </w:rPr>
        <w:drawing>
          <wp:inline distT="0" distB="0" distL="0" distR="0">
            <wp:extent cx="5274310" cy="3729355"/>
            <wp:effectExtent l="1905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ya-Marcel-Robert Figure 6.jpg"/>
                    <pic:cNvPicPr/>
                  </pic:nvPicPr>
                  <pic:blipFill>
                    <a:blip r:embed="rId7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3729355"/>
                    </a:xfrm>
                    <a:prstGeom prst="rect">
                      <a:avLst/>
                    </a:prstGeom>
                  </pic:spPr>
                </pic:pic>
              </a:graphicData>
            </a:graphic>
          </wp:inline>
        </w:drawing>
      </w:r>
    </w:p>
    <w:p w:rsidR="00B465DB" w:rsidRDefault="00B465DB" w:rsidP="00B465DB">
      <w:pPr>
        <w:spacing w:before="120" w:after="120" w:line="480" w:lineRule="auto"/>
        <w:ind w:firstLine="720"/>
        <w:jc w:val="both"/>
        <w:rPr>
          <w:color w:val="000000" w:themeColor="text1"/>
        </w:rPr>
      </w:pPr>
      <w:r w:rsidRPr="00B30B1B">
        <w:rPr>
          <w:color w:val="000000" w:themeColor="text1"/>
        </w:rPr>
        <w:t xml:space="preserve">Figure 6 shows the simulated changes in government expenditure with and without </w:t>
      </w:r>
      <w:r>
        <w:rPr>
          <w:color w:val="000000" w:themeColor="text1"/>
        </w:rPr>
        <w:t>age-specific</w:t>
      </w:r>
      <w:r w:rsidRPr="00B30B1B">
        <w:rPr>
          <w:color w:val="000000" w:themeColor="text1"/>
        </w:rPr>
        <w:t xml:space="preserve"> effects. When </w:t>
      </w:r>
      <w:r>
        <w:rPr>
          <w:color w:val="000000" w:themeColor="text1"/>
        </w:rPr>
        <w:t>age-specific</w:t>
      </w:r>
      <w:r w:rsidRPr="00B30B1B">
        <w:rPr>
          <w:color w:val="000000" w:themeColor="text1"/>
        </w:rPr>
        <w:t xml:space="preserve"> effects are not taken into consideratio</w:t>
      </w:r>
      <w:r>
        <w:rPr>
          <w:color w:val="000000" w:themeColor="text1"/>
        </w:rPr>
        <w:t>n, the change in government expenditures is smaller</w:t>
      </w:r>
      <w:r w:rsidRPr="00B30B1B">
        <w:rPr>
          <w:color w:val="000000" w:themeColor="text1"/>
        </w:rPr>
        <w:t xml:space="preserve">. As discussed above, </w:t>
      </w:r>
      <w:r w:rsidRPr="00B30B1B">
        <w:rPr>
          <w:color w:val="000000" w:themeColor="text1"/>
        </w:rPr>
        <w:lastRenderedPageBreak/>
        <w:t>the level of government expenditure</w:t>
      </w:r>
      <w:r>
        <w:rPr>
          <w:color w:val="000000" w:themeColor="text1"/>
        </w:rPr>
        <w:t>s</w:t>
      </w:r>
      <w:r w:rsidRPr="00B30B1B">
        <w:rPr>
          <w:color w:val="000000" w:themeColor="text1"/>
        </w:rPr>
        <w:t xml:space="preserve"> is affected by the three </w:t>
      </w:r>
      <w:r>
        <w:rPr>
          <w:color w:val="000000" w:themeColor="text1"/>
        </w:rPr>
        <w:t>age-specific</w:t>
      </w:r>
      <w:r w:rsidRPr="00B30B1B">
        <w:rPr>
          <w:color w:val="000000" w:themeColor="text1"/>
        </w:rPr>
        <w:t xml:space="preserve"> features of the model. </w:t>
      </w:r>
      <w:r>
        <w:rPr>
          <w:color w:val="000000" w:themeColor="text1"/>
        </w:rPr>
        <w:t>This suggests that failure to include age-specific effects leads to an under-estimation of the impact of population ageing on public expenditures and the level of public debt.</w:t>
      </w:r>
    </w:p>
    <w:p w:rsidR="00655F1A" w:rsidRDefault="00C45EBE" w:rsidP="008D7F87">
      <w:pPr>
        <w:spacing w:before="120" w:after="120" w:line="480" w:lineRule="auto"/>
        <w:ind w:firstLine="720"/>
        <w:jc w:val="both"/>
        <w:rPr>
          <w:color w:val="000000" w:themeColor="text1"/>
        </w:rPr>
      </w:pPr>
      <w:r w:rsidRPr="00C45EBE">
        <w:rPr>
          <w:color w:val="000000" w:themeColor="text1"/>
        </w:rPr>
        <w:t>Finally in order to consider the possible welfare implication of the analysis, Figure 7 show</w:t>
      </w:r>
      <w:r>
        <w:rPr>
          <w:color w:val="000000" w:themeColor="text1"/>
        </w:rPr>
        <w:t xml:space="preserve">s simulated </w:t>
      </w:r>
      <w:r w:rsidRPr="00C45EBE">
        <w:rPr>
          <w:color w:val="000000" w:themeColor="text1"/>
        </w:rPr>
        <w:t>changes</w:t>
      </w:r>
      <w:r>
        <w:rPr>
          <w:color w:val="000000" w:themeColor="text1"/>
        </w:rPr>
        <w:t xml:space="preserve"> in output per</w:t>
      </w:r>
      <w:r w:rsidR="008D7F87">
        <w:rPr>
          <w:color w:val="000000" w:themeColor="text1"/>
        </w:rPr>
        <w:t>-</w:t>
      </w:r>
      <w:r w:rsidRPr="00C45EBE">
        <w:rPr>
          <w:color w:val="000000" w:themeColor="text1"/>
        </w:rPr>
        <w:t>person (i.e.</w:t>
      </w:r>
      <w:r>
        <w:rPr>
          <w:color w:val="000000" w:themeColor="text1"/>
        </w:rPr>
        <w:t xml:space="preserve"> </w:t>
      </w:r>
      <w:r w:rsidRPr="00C45EBE">
        <w:rPr>
          <w:color w:val="000000" w:themeColor="text1"/>
        </w:rPr>
        <w:t>GDP</w:t>
      </w:r>
      <w:r w:rsidR="00931BF2" w:rsidRPr="00931BF2">
        <w:rPr>
          <w:color w:val="000000" w:themeColor="text1"/>
        </w:rPr>
        <w:t xml:space="preserve"> </w:t>
      </w:r>
      <w:r w:rsidR="00931BF2" w:rsidRPr="00C45EBE">
        <w:rPr>
          <w:color w:val="000000" w:themeColor="text1"/>
        </w:rPr>
        <w:t>per-capita</w:t>
      </w:r>
      <w:r w:rsidRPr="00C45EBE">
        <w:rPr>
          <w:color w:val="000000" w:themeColor="text1"/>
        </w:rPr>
        <w:t xml:space="preserve">). </w:t>
      </w:r>
      <w:r>
        <w:rPr>
          <w:color w:val="000000" w:themeColor="text1"/>
        </w:rPr>
        <w:t>Output per</w:t>
      </w:r>
      <w:r w:rsidR="008D7F87">
        <w:rPr>
          <w:color w:val="000000" w:themeColor="text1"/>
        </w:rPr>
        <w:t>-</w:t>
      </w:r>
      <w:r>
        <w:rPr>
          <w:color w:val="000000" w:themeColor="text1"/>
        </w:rPr>
        <w:t xml:space="preserve">person is calculated with and without </w:t>
      </w:r>
      <w:r w:rsidR="005F6F59">
        <w:rPr>
          <w:color w:val="000000" w:themeColor="text1"/>
        </w:rPr>
        <w:t>age-specific</w:t>
      </w:r>
      <w:r>
        <w:rPr>
          <w:color w:val="000000" w:themeColor="text1"/>
        </w:rPr>
        <w:t xml:space="preserve"> effects.  For both case</w:t>
      </w:r>
      <w:r w:rsidR="00C3739C">
        <w:rPr>
          <w:color w:val="000000" w:themeColor="text1"/>
        </w:rPr>
        <w:t>s</w:t>
      </w:r>
      <w:r>
        <w:rPr>
          <w:color w:val="000000" w:themeColor="text1"/>
        </w:rPr>
        <w:t>, output per</w:t>
      </w:r>
      <w:r w:rsidR="008D7F87">
        <w:rPr>
          <w:color w:val="000000" w:themeColor="text1"/>
        </w:rPr>
        <w:t>-</w:t>
      </w:r>
      <w:r>
        <w:rPr>
          <w:color w:val="000000" w:themeColor="text1"/>
        </w:rPr>
        <w:t>person decline</w:t>
      </w:r>
      <w:r w:rsidR="00C3739C">
        <w:rPr>
          <w:color w:val="000000" w:themeColor="text1"/>
        </w:rPr>
        <w:t>s</w:t>
      </w:r>
      <w:r>
        <w:rPr>
          <w:color w:val="000000" w:themeColor="text1"/>
        </w:rPr>
        <w:t xml:space="preserve">, with the decline being slightly smaller when </w:t>
      </w:r>
      <w:r w:rsidR="005F6F59">
        <w:rPr>
          <w:color w:val="000000" w:themeColor="text1"/>
        </w:rPr>
        <w:t>age-specific</w:t>
      </w:r>
      <w:r>
        <w:rPr>
          <w:color w:val="000000" w:themeColor="text1"/>
        </w:rPr>
        <w:t xml:space="preserve"> effects are taken into consideration. The simulation suggests </w:t>
      </w:r>
      <w:r w:rsidR="008D7F87">
        <w:rPr>
          <w:color w:val="000000" w:themeColor="text1"/>
        </w:rPr>
        <w:t>a reduction in output per-</w:t>
      </w:r>
      <w:r w:rsidR="00931BF2">
        <w:rPr>
          <w:color w:val="000000" w:themeColor="text1"/>
        </w:rPr>
        <w:t>person</w:t>
      </w:r>
      <w:r w:rsidR="00931BF2" w:rsidDel="00931BF2">
        <w:rPr>
          <w:color w:val="000000" w:themeColor="text1"/>
        </w:rPr>
        <w:t xml:space="preserve"> </w:t>
      </w:r>
      <w:r w:rsidR="00931BF2">
        <w:rPr>
          <w:color w:val="000000" w:themeColor="text1"/>
        </w:rPr>
        <w:t>above</w:t>
      </w:r>
      <w:r>
        <w:rPr>
          <w:color w:val="000000" w:themeColor="text1"/>
        </w:rPr>
        <w:t xml:space="preserve"> 15</w:t>
      </w:r>
      <w:r w:rsidR="008D7F87">
        <w:rPr>
          <w:color w:val="000000" w:themeColor="text1"/>
        </w:rPr>
        <w:t xml:space="preserve"> per cent</w:t>
      </w:r>
      <w:r w:rsidR="00931BF2">
        <w:rPr>
          <w:color w:val="000000" w:themeColor="text1"/>
        </w:rPr>
        <w:t xml:space="preserve"> over the next 100 years</w:t>
      </w:r>
      <w:r>
        <w:rPr>
          <w:color w:val="000000" w:themeColor="text1"/>
        </w:rPr>
        <w:t>, which corresponds to a considerable welfare</w:t>
      </w:r>
      <w:r w:rsidR="00491581">
        <w:rPr>
          <w:color w:val="000000" w:themeColor="text1"/>
        </w:rPr>
        <w:t xml:space="preserve"> loss</w:t>
      </w:r>
      <w:r>
        <w:rPr>
          <w:color w:val="000000" w:themeColor="text1"/>
        </w:rPr>
        <w:t>.</w:t>
      </w:r>
    </w:p>
    <w:p w:rsidR="008F0C9F" w:rsidRDefault="008F0C9F" w:rsidP="00C3739C">
      <w:pPr>
        <w:spacing w:before="120" w:after="120" w:line="360" w:lineRule="auto"/>
        <w:jc w:val="both"/>
        <w:rPr>
          <w:b/>
        </w:rPr>
      </w:pPr>
      <w:r>
        <w:rPr>
          <w:noProof/>
          <w:color w:val="FF0000"/>
        </w:rPr>
        <w:drawing>
          <wp:inline distT="0" distB="0" distL="0" distR="0">
            <wp:extent cx="5274310" cy="3729355"/>
            <wp:effectExtent l="0" t="0" r="254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ya-Marcel-Robert Figure 7.jpg"/>
                    <pic:cNvPicPr/>
                  </pic:nvPicPr>
                  <pic:blipFill>
                    <a:blip r:embed="rId8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3729355"/>
                    </a:xfrm>
                    <a:prstGeom prst="rect">
                      <a:avLst/>
                    </a:prstGeom>
                  </pic:spPr>
                </pic:pic>
              </a:graphicData>
            </a:graphic>
          </wp:inline>
        </w:drawing>
      </w:r>
    </w:p>
    <w:p w:rsidR="009B41EB" w:rsidRPr="00491581" w:rsidRDefault="009B41EB" w:rsidP="00C3739C">
      <w:pPr>
        <w:spacing w:before="120" w:after="120" w:line="360" w:lineRule="auto"/>
        <w:jc w:val="both"/>
        <w:rPr>
          <w:b/>
        </w:rPr>
      </w:pPr>
    </w:p>
    <w:p w:rsidR="00B465DB" w:rsidRDefault="00B465DB">
      <w:pPr>
        <w:rPr>
          <w:b/>
        </w:rPr>
      </w:pPr>
      <w:r>
        <w:rPr>
          <w:b/>
        </w:rPr>
        <w:br w:type="page"/>
      </w:r>
    </w:p>
    <w:p w:rsidR="00D36E1F" w:rsidRPr="00491581" w:rsidRDefault="00D36E1F" w:rsidP="00491581">
      <w:pPr>
        <w:spacing w:line="480" w:lineRule="auto"/>
        <w:jc w:val="both"/>
        <w:rPr>
          <w:b/>
        </w:rPr>
      </w:pPr>
      <w:r w:rsidRPr="00491581">
        <w:rPr>
          <w:b/>
        </w:rPr>
        <w:lastRenderedPageBreak/>
        <w:t>5. Conclusion</w:t>
      </w:r>
      <w:r w:rsidR="00544FDC" w:rsidRPr="00491581">
        <w:rPr>
          <w:b/>
        </w:rPr>
        <w:t>s</w:t>
      </w:r>
    </w:p>
    <w:p w:rsidR="00D91524" w:rsidRDefault="00491581" w:rsidP="00655F1A">
      <w:pPr>
        <w:spacing w:line="480" w:lineRule="auto"/>
        <w:ind w:firstLine="720"/>
        <w:jc w:val="both"/>
      </w:pPr>
      <w:r w:rsidRPr="00491581">
        <w:t xml:space="preserve">This paper developed an overlapping generations </w:t>
      </w:r>
      <w:r>
        <w:t xml:space="preserve">(OLG) </w:t>
      </w:r>
      <w:r w:rsidRPr="00491581">
        <w:t>computable gene</w:t>
      </w:r>
      <w:r>
        <w:t xml:space="preserve">ral equilibrium (CGE) </w:t>
      </w:r>
      <w:r w:rsidRPr="00491581">
        <w:t>model in order to evaluate the macro-economic impacts of population ageing in Scotland.</w:t>
      </w:r>
      <w:r>
        <w:t xml:space="preserve"> The model is particularly well suite</w:t>
      </w:r>
      <w:r w:rsidR="00A04589">
        <w:t>d to this task since it</w:t>
      </w:r>
      <w:r w:rsidR="00C3739C">
        <w:t>s</w:t>
      </w:r>
      <w:r w:rsidR="00A04589">
        <w:t xml:space="preserve"> OLG structure explicitly allows for the incorporation of ageing effects related to age-specific labour force participation, age-specific</w:t>
      </w:r>
      <w:r w:rsidR="00C8539C">
        <w:t xml:space="preserve"> productivity differences and age-specific government expenditure</w:t>
      </w:r>
      <w:r w:rsidR="00C3739C">
        <w:t>s</w:t>
      </w:r>
      <w:r w:rsidR="002653D7">
        <w:t xml:space="preserve">. </w:t>
      </w:r>
      <w:r w:rsidR="00C8539C">
        <w:t>Population ageing is also associate</w:t>
      </w:r>
      <w:r w:rsidR="00706E55">
        <w:t>d</w:t>
      </w:r>
      <w:r w:rsidR="00C8539C">
        <w:t xml:space="preserve"> with lower output per</w:t>
      </w:r>
      <w:r w:rsidR="008D7F87">
        <w:t>-</w:t>
      </w:r>
      <w:r w:rsidR="00C8539C">
        <w:t>person suggesting that it is welfare reducing.</w:t>
      </w:r>
      <w:r w:rsidR="002653D7" w:rsidRPr="002653D7">
        <w:t xml:space="preserve"> </w:t>
      </w:r>
      <w:r w:rsidR="002653D7">
        <w:t>Th</w:t>
      </w:r>
      <w:r w:rsidR="002653D7" w:rsidRPr="00E34D8F">
        <w:t>is loss is less prominent when age-specific effects are modelled explicitly.</w:t>
      </w:r>
    </w:p>
    <w:p w:rsidR="00655F1A" w:rsidRDefault="00655F1A">
      <w:r>
        <w:br w:type="page"/>
      </w:r>
    </w:p>
    <w:p w:rsidR="00A04589" w:rsidRPr="008827A5" w:rsidRDefault="00D91524" w:rsidP="00706E55">
      <w:pPr>
        <w:spacing w:line="480" w:lineRule="auto"/>
        <w:jc w:val="center"/>
        <w:rPr>
          <w:b/>
        </w:rPr>
      </w:pPr>
      <w:r w:rsidRPr="00D91524">
        <w:rPr>
          <w:b/>
        </w:rPr>
        <w:lastRenderedPageBreak/>
        <w:t>References</w:t>
      </w:r>
    </w:p>
    <w:p w:rsidR="00A04589" w:rsidRDefault="00F5454A" w:rsidP="00A04589">
      <w:pPr>
        <w:spacing w:line="480" w:lineRule="auto"/>
        <w:ind w:left="720" w:hanging="720"/>
        <w:jc w:val="both"/>
      </w:pPr>
      <w:proofErr w:type="spellStart"/>
      <w:r w:rsidRPr="008827A5">
        <w:t>Auerbach</w:t>
      </w:r>
      <w:proofErr w:type="spellEnd"/>
      <w:r w:rsidRPr="008827A5">
        <w:t xml:space="preserve">, A. and L. </w:t>
      </w:r>
      <w:proofErr w:type="spellStart"/>
      <w:r w:rsidRPr="008827A5">
        <w:t>Kotlikoff</w:t>
      </w:r>
      <w:proofErr w:type="spellEnd"/>
      <w:r w:rsidRPr="008827A5">
        <w:t xml:space="preserve">, (1987), </w:t>
      </w:r>
      <w:r w:rsidRPr="008827A5">
        <w:rPr>
          <w:i/>
        </w:rPr>
        <w:t>Dynamic Fiscal Policy</w:t>
      </w:r>
      <w:r w:rsidRPr="008827A5">
        <w:t>, Cambridge, Cambridge University Press</w:t>
      </w:r>
    </w:p>
    <w:p w:rsidR="00A04589" w:rsidRDefault="00F808D4" w:rsidP="00A04589">
      <w:pPr>
        <w:spacing w:line="480" w:lineRule="auto"/>
        <w:ind w:left="720" w:hanging="720"/>
        <w:jc w:val="both"/>
      </w:pPr>
      <w:proofErr w:type="spellStart"/>
      <w:r w:rsidRPr="00A26A8C">
        <w:t>Bommier</w:t>
      </w:r>
      <w:proofErr w:type="spellEnd"/>
      <w:r w:rsidRPr="00A26A8C">
        <w:t xml:space="preserve">, A. and </w:t>
      </w:r>
      <w:r>
        <w:t xml:space="preserve">R.D. </w:t>
      </w:r>
      <w:r w:rsidRPr="00A26A8C">
        <w:t>Lee</w:t>
      </w:r>
      <w:r>
        <w:t xml:space="preserve">, </w:t>
      </w:r>
      <w:r w:rsidRPr="00A26A8C">
        <w:t xml:space="preserve">(2003), “Overlapping </w:t>
      </w:r>
      <w:r>
        <w:t>G</w:t>
      </w:r>
      <w:r w:rsidRPr="00A26A8C">
        <w:t xml:space="preserve">enerations </w:t>
      </w:r>
      <w:r>
        <w:t>M</w:t>
      </w:r>
      <w:r w:rsidRPr="00A26A8C">
        <w:t xml:space="preserve">odels with </w:t>
      </w:r>
      <w:r>
        <w:t>R</w:t>
      </w:r>
      <w:r w:rsidRPr="00A26A8C">
        <w:t xml:space="preserve">ealistic </w:t>
      </w:r>
      <w:r>
        <w:t>D</w:t>
      </w:r>
      <w:r w:rsidRPr="00A26A8C">
        <w:t>emography”</w:t>
      </w:r>
      <w:r>
        <w:t>,</w:t>
      </w:r>
      <w:r w:rsidRPr="00A26A8C">
        <w:t xml:space="preserve"> </w:t>
      </w:r>
      <w:r w:rsidRPr="00A26A8C">
        <w:rPr>
          <w:i/>
        </w:rPr>
        <w:t>Journal of Population Economics</w:t>
      </w:r>
      <w:r>
        <w:t xml:space="preserve">, vol. </w:t>
      </w:r>
      <w:r w:rsidRPr="00A26A8C">
        <w:t xml:space="preserve">16, </w:t>
      </w:r>
      <w:r>
        <w:t xml:space="preserve">pp. </w:t>
      </w:r>
      <w:r w:rsidRPr="00A26A8C">
        <w:t>135-160</w:t>
      </w:r>
    </w:p>
    <w:p w:rsidR="00A04589" w:rsidRDefault="00F808D4" w:rsidP="00A04589">
      <w:pPr>
        <w:spacing w:line="480" w:lineRule="auto"/>
        <w:ind w:left="720" w:hanging="720"/>
        <w:jc w:val="both"/>
      </w:pPr>
      <w:r>
        <w:t>Borsch-</w:t>
      </w:r>
      <w:proofErr w:type="spellStart"/>
      <w:r>
        <w:t>Supan</w:t>
      </w:r>
      <w:proofErr w:type="spellEnd"/>
      <w:r>
        <w:t xml:space="preserve">, A., A. Ludwig and J. Winter (2006), “Aging, Pension Reform and Capital Flows: A Multi-Country Simulation Model”, </w:t>
      </w:r>
      <w:proofErr w:type="spellStart"/>
      <w:r w:rsidRPr="00864C6D">
        <w:rPr>
          <w:i/>
        </w:rPr>
        <w:t>Economica</w:t>
      </w:r>
      <w:proofErr w:type="spellEnd"/>
      <w:r>
        <w:t>, vol. 73, pp. 625-658</w:t>
      </w:r>
    </w:p>
    <w:p w:rsidR="00A04589" w:rsidRDefault="002139D1" w:rsidP="00A04589">
      <w:pPr>
        <w:spacing w:line="480" w:lineRule="auto"/>
        <w:ind w:left="720" w:hanging="720"/>
        <w:jc w:val="both"/>
        <w:rPr>
          <w:color w:val="000000"/>
        </w:rPr>
      </w:pPr>
      <w:r w:rsidRPr="008827A5">
        <w:rPr>
          <w:color w:val="000000"/>
        </w:rPr>
        <w:t>Borsch-</w:t>
      </w:r>
      <w:proofErr w:type="spellStart"/>
      <w:r w:rsidRPr="008827A5">
        <w:rPr>
          <w:color w:val="000000"/>
        </w:rPr>
        <w:t>Supan</w:t>
      </w:r>
      <w:proofErr w:type="spellEnd"/>
      <w:r w:rsidRPr="008827A5">
        <w:rPr>
          <w:color w:val="000000"/>
        </w:rPr>
        <w:t xml:space="preserve">, A., (2003), “Labour Market Effects of Population Ageing”, </w:t>
      </w:r>
      <w:r w:rsidRPr="008827A5">
        <w:rPr>
          <w:i/>
          <w:color w:val="000000"/>
        </w:rPr>
        <w:t>Labour</w:t>
      </w:r>
      <w:r w:rsidRPr="008827A5">
        <w:rPr>
          <w:color w:val="000000"/>
        </w:rPr>
        <w:t>, vol. 17 (Special Issue), pp. 5-44</w:t>
      </w:r>
    </w:p>
    <w:p w:rsidR="00222F49" w:rsidRDefault="00222F49" w:rsidP="00222F49">
      <w:pPr>
        <w:spacing w:line="480" w:lineRule="auto"/>
        <w:ind w:left="720" w:hanging="720"/>
        <w:jc w:val="both"/>
      </w:pPr>
      <w:proofErr w:type="spellStart"/>
      <w:r>
        <w:t>Burfisher</w:t>
      </w:r>
      <w:proofErr w:type="spellEnd"/>
      <w:r>
        <w:t>, M.E., (2011), Introduction</w:t>
      </w:r>
      <w:r w:rsidRPr="00222F49">
        <w:rPr>
          <w:i/>
        </w:rPr>
        <w:t xml:space="preserve"> to Computable General Equilibrium Models</w:t>
      </w:r>
      <w:r>
        <w:t>, Cambridge University Press, Cambridge</w:t>
      </w:r>
    </w:p>
    <w:p w:rsidR="00222F49" w:rsidRDefault="00222F49" w:rsidP="00222F49">
      <w:pPr>
        <w:spacing w:line="480" w:lineRule="auto"/>
        <w:ind w:left="720" w:hanging="720"/>
        <w:jc w:val="both"/>
      </w:pPr>
      <w:r w:rsidRPr="00222F49">
        <w:t xml:space="preserve">Dixon, B. and D. Jorgenson, (2012), Handbook of </w:t>
      </w:r>
      <w:r w:rsidRPr="00222F49">
        <w:rPr>
          <w:i/>
        </w:rPr>
        <w:t xml:space="preserve">Computable General Equilibrium Modelling, </w:t>
      </w:r>
      <w:r w:rsidRPr="00222F49">
        <w:t>North Holland, Amsterdam</w:t>
      </w:r>
    </w:p>
    <w:p w:rsidR="00222F49" w:rsidRDefault="00222F49" w:rsidP="00222F49">
      <w:pPr>
        <w:spacing w:line="480" w:lineRule="auto"/>
        <w:ind w:left="720" w:hanging="720"/>
        <w:jc w:val="both"/>
      </w:pPr>
      <w:proofErr w:type="spellStart"/>
      <w:r w:rsidRPr="00222F49">
        <w:rPr>
          <w:rStyle w:val="ptbrand5"/>
          <w:bCs/>
        </w:rPr>
        <w:t>Fossati</w:t>
      </w:r>
      <w:proofErr w:type="spellEnd"/>
      <w:r w:rsidRPr="00222F49">
        <w:rPr>
          <w:rStyle w:val="ptbrand5"/>
          <w:bCs/>
        </w:rPr>
        <w:t xml:space="preserve">, A. and W. </w:t>
      </w:r>
      <w:proofErr w:type="spellStart"/>
      <w:r w:rsidRPr="00222F49">
        <w:rPr>
          <w:rStyle w:val="ptbrand5"/>
          <w:bCs/>
        </w:rPr>
        <w:t>Wiegard</w:t>
      </w:r>
      <w:proofErr w:type="spellEnd"/>
      <w:r w:rsidRPr="00222F49">
        <w:rPr>
          <w:rStyle w:val="ptbrand5"/>
          <w:bCs/>
        </w:rPr>
        <w:t>,</w:t>
      </w:r>
      <w:r w:rsidRPr="00222F49">
        <w:rPr>
          <w:bCs/>
        </w:rPr>
        <w:t xml:space="preserve"> </w:t>
      </w:r>
      <w:r w:rsidRPr="00222F49">
        <w:rPr>
          <w:rStyle w:val="bindingandrelease"/>
          <w:bCs/>
        </w:rPr>
        <w:t>(2001),</w:t>
      </w:r>
      <w:r w:rsidRPr="00222F49">
        <w:rPr>
          <w:bCs/>
        </w:rPr>
        <w:t xml:space="preserve"> </w:t>
      </w:r>
      <w:r w:rsidRPr="00222F49">
        <w:rPr>
          <w:i/>
        </w:rPr>
        <w:t>Policy Evaluation with Computable General Equilibrium Models</w:t>
      </w:r>
      <w:r w:rsidRPr="00222F49">
        <w:rPr>
          <w:bCs/>
        </w:rPr>
        <w:t>,</w:t>
      </w:r>
      <w:r w:rsidRPr="00222F49">
        <w:t xml:space="preserve"> </w:t>
      </w:r>
      <w:proofErr w:type="spellStart"/>
      <w:r w:rsidRPr="00222F49">
        <w:t>Routledg</w:t>
      </w:r>
      <w:r w:rsidRPr="00222F49">
        <w:rPr>
          <w:bCs/>
        </w:rPr>
        <w:t>e</w:t>
      </w:r>
      <w:proofErr w:type="spellEnd"/>
      <w:r w:rsidRPr="00222F49">
        <w:rPr>
          <w:bCs/>
        </w:rPr>
        <w:t>, London</w:t>
      </w:r>
    </w:p>
    <w:p w:rsidR="00A04589" w:rsidRDefault="00FE764B" w:rsidP="00222F49">
      <w:pPr>
        <w:spacing w:line="480" w:lineRule="auto"/>
        <w:ind w:left="720" w:hanging="720"/>
        <w:jc w:val="both"/>
      </w:pPr>
      <w:proofErr w:type="spellStart"/>
      <w:r>
        <w:t>Fougère</w:t>
      </w:r>
      <w:proofErr w:type="spellEnd"/>
      <w:r w:rsidR="006B5BA4">
        <w:t>,</w:t>
      </w:r>
      <w:r>
        <w:t xml:space="preserve"> M. and M. </w:t>
      </w:r>
      <w:proofErr w:type="spellStart"/>
      <w:r>
        <w:t>Mérette</w:t>
      </w:r>
      <w:proofErr w:type="spellEnd"/>
      <w:r>
        <w:t xml:space="preserve">, (1999), “Population Ageing and Economic Growth in Seven OECD Countries”, </w:t>
      </w:r>
      <w:r w:rsidRPr="00864C6D">
        <w:rPr>
          <w:i/>
        </w:rPr>
        <w:t>Economic Modelling</w:t>
      </w:r>
      <w:r>
        <w:t>, vol. 16(3), 411-27</w:t>
      </w:r>
    </w:p>
    <w:p w:rsidR="00A04589" w:rsidRDefault="00FE764B" w:rsidP="00A04589">
      <w:pPr>
        <w:spacing w:line="480" w:lineRule="auto"/>
        <w:ind w:left="720" w:hanging="720"/>
        <w:jc w:val="both"/>
      </w:pPr>
      <w:proofErr w:type="spellStart"/>
      <w:r>
        <w:t>Fougère</w:t>
      </w:r>
      <w:proofErr w:type="spellEnd"/>
      <w:r>
        <w:t xml:space="preserve">, M., J. Mercenier and M. </w:t>
      </w:r>
      <w:proofErr w:type="spellStart"/>
      <w:r>
        <w:t>Mérette</w:t>
      </w:r>
      <w:proofErr w:type="spellEnd"/>
      <w:r>
        <w:t xml:space="preserve">, (2007), “A </w:t>
      </w:r>
      <w:proofErr w:type="spellStart"/>
      <w:r>
        <w:t>Sectoral</w:t>
      </w:r>
      <w:proofErr w:type="spellEnd"/>
      <w:r>
        <w:t xml:space="preserve"> and Occupational Analysis of Population Ageing in Canada Using a Dynamic CGE Overlapping Generations Model”, </w:t>
      </w:r>
      <w:r w:rsidRPr="00FE764B">
        <w:rPr>
          <w:i/>
        </w:rPr>
        <w:t>Economic Modelling</w:t>
      </w:r>
      <w:r>
        <w:t xml:space="preserve"> vol. 24, pp. 690-711</w:t>
      </w:r>
    </w:p>
    <w:p w:rsidR="00222F49" w:rsidRDefault="00273A69" w:rsidP="00273A69">
      <w:pPr>
        <w:spacing w:line="480" w:lineRule="auto"/>
        <w:ind w:left="720" w:hanging="720"/>
        <w:jc w:val="both"/>
      </w:pPr>
      <w:proofErr w:type="spellStart"/>
      <w:r>
        <w:t>Fouugère</w:t>
      </w:r>
      <w:proofErr w:type="spellEnd"/>
      <w:r>
        <w:t xml:space="preserve">, M., S. Harvey, M. </w:t>
      </w:r>
      <w:proofErr w:type="spellStart"/>
      <w:r>
        <w:t>Mérette</w:t>
      </w:r>
      <w:proofErr w:type="spellEnd"/>
      <w:r>
        <w:t xml:space="preserve"> and F. </w:t>
      </w:r>
      <w:proofErr w:type="spellStart"/>
      <w:r>
        <w:t>Poitras</w:t>
      </w:r>
      <w:proofErr w:type="spellEnd"/>
      <w:r>
        <w:t>, (2004)</w:t>
      </w:r>
      <w:proofErr w:type="gramStart"/>
      <w:r>
        <w:t>,</w:t>
      </w:r>
      <w:r w:rsidR="00F808D4">
        <w:t>“</w:t>
      </w:r>
      <w:proofErr w:type="gramEnd"/>
      <w:r w:rsidR="00F808D4">
        <w:t xml:space="preserve">Ageing Population and Immigration in Canada: an Analysis with a Regional CGE Overlapping Generations Model”, </w:t>
      </w:r>
      <w:r w:rsidR="00F808D4" w:rsidRPr="00F561E0">
        <w:rPr>
          <w:i/>
        </w:rPr>
        <w:t>Canadian Journal of Regional Science</w:t>
      </w:r>
      <w:r w:rsidR="00F808D4">
        <w:t>, vol. 27, no. 2, pp. 209-236</w:t>
      </w:r>
    </w:p>
    <w:p w:rsidR="00222F49" w:rsidRDefault="00222F49" w:rsidP="00222F49">
      <w:pPr>
        <w:spacing w:line="480" w:lineRule="auto"/>
        <w:ind w:left="720" w:hanging="720"/>
        <w:jc w:val="both"/>
      </w:pPr>
      <w:proofErr w:type="spellStart"/>
      <w:r w:rsidRPr="00222F49">
        <w:rPr>
          <w:rStyle w:val="ptbrand5"/>
          <w:bCs/>
        </w:rPr>
        <w:lastRenderedPageBreak/>
        <w:t>Hosoe</w:t>
      </w:r>
      <w:proofErr w:type="spellEnd"/>
      <w:r w:rsidRPr="00222F49">
        <w:rPr>
          <w:rStyle w:val="ptbrand5"/>
          <w:bCs/>
        </w:rPr>
        <w:t>, N.</w:t>
      </w:r>
      <w:proofErr w:type="gramStart"/>
      <w:r w:rsidRPr="00222F49">
        <w:rPr>
          <w:rStyle w:val="ptbrand5"/>
          <w:bCs/>
        </w:rPr>
        <w:t>,  K</w:t>
      </w:r>
      <w:proofErr w:type="gramEnd"/>
      <w:r w:rsidRPr="00222F49">
        <w:rPr>
          <w:rStyle w:val="ptbrand5"/>
          <w:bCs/>
        </w:rPr>
        <w:t xml:space="preserve">. </w:t>
      </w:r>
      <w:proofErr w:type="spellStart"/>
      <w:r w:rsidRPr="00222F49">
        <w:rPr>
          <w:rStyle w:val="ptbrand5"/>
          <w:bCs/>
        </w:rPr>
        <w:t>Gasawa</w:t>
      </w:r>
      <w:proofErr w:type="spellEnd"/>
      <w:r w:rsidRPr="00222F49">
        <w:rPr>
          <w:rStyle w:val="ptbrand5"/>
          <w:bCs/>
        </w:rPr>
        <w:t xml:space="preserve"> and H. Hashimoto, (2010), </w:t>
      </w:r>
      <w:r w:rsidRPr="00222F49">
        <w:rPr>
          <w:bCs/>
          <w:i/>
        </w:rPr>
        <w:t xml:space="preserve">Textbook of Computable General Equilibrium </w:t>
      </w:r>
      <w:proofErr w:type="spellStart"/>
      <w:r w:rsidRPr="00222F49">
        <w:rPr>
          <w:bCs/>
          <w:i/>
        </w:rPr>
        <w:t>Modeling</w:t>
      </w:r>
      <w:proofErr w:type="spellEnd"/>
      <w:r w:rsidRPr="00222F49">
        <w:rPr>
          <w:bCs/>
          <w:i/>
        </w:rPr>
        <w:t>: Programming and Simulations</w:t>
      </w:r>
      <w:r w:rsidRPr="00222F49">
        <w:rPr>
          <w:bCs/>
        </w:rPr>
        <w:t xml:space="preserve">, </w:t>
      </w:r>
      <w:proofErr w:type="spellStart"/>
      <w:r w:rsidRPr="00222F49">
        <w:rPr>
          <w:bCs/>
        </w:rPr>
        <w:t>Plagrave</w:t>
      </w:r>
      <w:proofErr w:type="spellEnd"/>
      <w:r w:rsidRPr="00222F49">
        <w:rPr>
          <w:bCs/>
        </w:rPr>
        <w:t xml:space="preserve"> Macmillan, London</w:t>
      </w:r>
    </w:p>
    <w:p w:rsidR="00A04589" w:rsidRDefault="00F808D4" w:rsidP="00222F49">
      <w:pPr>
        <w:spacing w:line="480" w:lineRule="auto"/>
        <w:ind w:left="720" w:hanging="720"/>
        <w:jc w:val="both"/>
        <w:rPr>
          <w:color w:val="000000"/>
        </w:rPr>
      </w:pPr>
      <w:r w:rsidRPr="008827A5">
        <w:rPr>
          <w:bCs/>
          <w:color w:val="000000"/>
          <w:lang w:val="sv-SE"/>
        </w:rPr>
        <w:t xml:space="preserve">Lisenkova, K., P. McGregor, RE. </w:t>
      </w:r>
      <w:r w:rsidRPr="008827A5">
        <w:rPr>
          <w:bCs/>
          <w:color w:val="000000"/>
        </w:rPr>
        <w:t>Wright and others, (2010),</w:t>
      </w:r>
      <w:r w:rsidRPr="008827A5">
        <w:rPr>
          <w:color w:val="000000"/>
        </w:rPr>
        <w:t xml:space="preserve"> “Scotland the Grey: A Linked Demographic-CGE Analysis of the Impact of Population Ageing and Decline”, </w:t>
      </w:r>
      <w:r w:rsidRPr="008827A5">
        <w:rPr>
          <w:i/>
          <w:color w:val="000000"/>
        </w:rPr>
        <w:t xml:space="preserve">Regional Studies, </w:t>
      </w:r>
      <w:r w:rsidRPr="008827A5">
        <w:rPr>
          <w:color w:val="000000"/>
        </w:rPr>
        <w:t>vol. 44, no. 10, pp. 1351-1368</w:t>
      </w:r>
    </w:p>
    <w:p w:rsidR="007C6C01" w:rsidRDefault="0068164C" w:rsidP="007C6C01">
      <w:pPr>
        <w:spacing w:line="480" w:lineRule="auto"/>
        <w:ind w:left="720" w:hanging="720"/>
        <w:jc w:val="both"/>
        <w:rPr>
          <w:color w:val="000000"/>
        </w:rPr>
      </w:pPr>
      <w:proofErr w:type="spellStart"/>
      <w:r>
        <w:t>Mérette</w:t>
      </w:r>
      <w:proofErr w:type="spellEnd"/>
      <w:r>
        <w:t xml:space="preserve">, M. and P. </w:t>
      </w:r>
      <w:proofErr w:type="spellStart"/>
      <w:r>
        <w:t>Georgres</w:t>
      </w:r>
      <w:proofErr w:type="spellEnd"/>
      <w:r>
        <w:t xml:space="preserve">, (2010), </w:t>
      </w:r>
      <w:r w:rsidR="007C6C01">
        <w:t xml:space="preserve">“Demographic Changes and Gains from Globalisation: An Analysis of Ageing, Capital Flows and International Trade”, </w:t>
      </w:r>
      <w:r w:rsidR="007C6C01" w:rsidRPr="007C6C01">
        <w:rPr>
          <w:i/>
        </w:rPr>
        <w:t>Global Economy Journal</w:t>
      </w:r>
      <w:r w:rsidR="0031367F">
        <w:t>, vol. 10, no. 3, a</w:t>
      </w:r>
      <w:r w:rsidR="007C6C01">
        <w:t>rt. 3</w:t>
      </w:r>
    </w:p>
    <w:p w:rsidR="00A04589" w:rsidRPr="007C6C01" w:rsidRDefault="004310F5" w:rsidP="007C6C01">
      <w:pPr>
        <w:spacing w:line="480" w:lineRule="auto"/>
        <w:ind w:left="720" w:hanging="720"/>
        <w:jc w:val="both"/>
        <w:rPr>
          <w:color w:val="000000"/>
        </w:rPr>
      </w:pPr>
      <w:r w:rsidRPr="00295F2D">
        <w:t xml:space="preserve">National Records of Scotland, (2011), </w:t>
      </w:r>
      <w:r w:rsidRPr="00295F2D">
        <w:rPr>
          <w:i/>
        </w:rPr>
        <w:t>Projected Population of Scotland (2010-based). National Population Projections by Sex and Age, with UK and European Comparisons</w:t>
      </w:r>
      <w:r w:rsidRPr="00295F2D">
        <w:t>, National Records of Scotland, Edinburgh</w:t>
      </w:r>
    </w:p>
    <w:p w:rsidR="00C3739C" w:rsidRPr="00C3739C" w:rsidRDefault="00C3739C" w:rsidP="00A04589">
      <w:pPr>
        <w:spacing w:line="480" w:lineRule="auto"/>
        <w:ind w:left="720" w:hanging="720"/>
        <w:jc w:val="both"/>
      </w:pPr>
      <w:r>
        <w:t xml:space="preserve">Scottish Government, (2008), </w:t>
      </w:r>
      <w:r w:rsidRPr="008F12A4">
        <w:rPr>
          <w:i/>
        </w:rPr>
        <w:t>2006-07 Governm</w:t>
      </w:r>
      <w:r>
        <w:rPr>
          <w:i/>
        </w:rPr>
        <w:t>e</w:t>
      </w:r>
      <w:r w:rsidRPr="008F12A4">
        <w:rPr>
          <w:i/>
        </w:rPr>
        <w:t>n</w:t>
      </w:r>
      <w:r>
        <w:rPr>
          <w:i/>
        </w:rPr>
        <w:t>t</w:t>
      </w:r>
      <w:r w:rsidRPr="008F12A4">
        <w:rPr>
          <w:i/>
        </w:rPr>
        <w:t xml:space="preserve"> Expenditure and Revenue Scotland</w:t>
      </w:r>
      <w:r>
        <w:rPr>
          <w:i/>
        </w:rPr>
        <w:t>,</w:t>
      </w:r>
      <w:r>
        <w:t xml:space="preserve"> Scottish Government, Edinburgh</w:t>
      </w:r>
    </w:p>
    <w:p w:rsidR="00055D51" w:rsidRDefault="00F808D4" w:rsidP="00055D51">
      <w:pPr>
        <w:spacing w:line="480" w:lineRule="auto"/>
        <w:ind w:left="720" w:hanging="720"/>
        <w:jc w:val="both"/>
        <w:rPr>
          <w:color w:val="000000"/>
        </w:rPr>
      </w:pPr>
      <w:proofErr w:type="gramStart"/>
      <w:r w:rsidRPr="008827A5">
        <w:rPr>
          <w:color w:val="000000"/>
        </w:rPr>
        <w:t>Weil, D., (1997), “The Economics of Population Ageing”.</w:t>
      </w:r>
      <w:proofErr w:type="gramEnd"/>
      <w:r w:rsidRPr="008827A5">
        <w:rPr>
          <w:color w:val="000000"/>
        </w:rPr>
        <w:t xml:space="preserve"> In: M. </w:t>
      </w:r>
      <w:proofErr w:type="spellStart"/>
      <w:r w:rsidRPr="008827A5">
        <w:rPr>
          <w:color w:val="000000"/>
        </w:rPr>
        <w:t>Rosenzweig</w:t>
      </w:r>
      <w:proofErr w:type="spellEnd"/>
      <w:r w:rsidRPr="008827A5">
        <w:rPr>
          <w:color w:val="000000"/>
        </w:rPr>
        <w:t xml:space="preserve"> and O. Stark, (eds.), </w:t>
      </w:r>
      <w:r w:rsidRPr="008827A5">
        <w:rPr>
          <w:i/>
          <w:color w:val="000000"/>
        </w:rPr>
        <w:t>Handbook of Population Economics</w:t>
      </w:r>
      <w:r w:rsidRPr="008827A5">
        <w:rPr>
          <w:color w:val="000000"/>
        </w:rPr>
        <w:t xml:space="preserve">, Volume 1B, North Holland, </w:t>
      </w:r>
      <w:proofErr w:type="gramStart"/>
      <w:r w:rsidRPr="008827A5">
        <w:rPr>
          <w:color w:val="000000"/>
        </w:rPr>
        <w:t>Amsterdam</w:t>
      </w:r>
      <w:proofErr w:type="gramEnd"/>
    </w:p>
    <w:p w:rsidR="00055D51" w:rsidRDefault="00055D51" w:rsidP="00055D51">
      <w:pPr>
        <w:spacing w:line="480" w:lineRule="auto"/>
        <w:ind w:left="720" w:hanging="720"/>
        <w:jc w:val="both"/>
        <w:rPr>
          <w:color w:val="000000"/>
        </w:rPr>
      </w:pPr>
      <w:proofErr w:type="spellStart"/>
      <w:r w:rsidRPr="004962A2">
        <w:t>Yaari</w:t>
      </w:r>
      <w:proofErr w:type="spellEnd"/>
      <w:r>
        <w:t>, M. E.,</w:t>
      </w:r>
      <w:r w:rsidRPr="004962A2">
        <w:t xml:space="preserve"> (1965), </w:t>
      </w:r>
      <w:r>
        <w:t>“Uncertain Lifetime, Life Insurance, and the Theory of the C</w:t>
      </w:r>
      <w:r w:rsidRPr="004962A2">
        <w:t>onsumer</w:t>
      </w:r>
      <w:r>
        <w:t>”,</w:t>
      </w:r>
      <w:r w:rsidRPr="004962A2">
        <w:t xml:space="preserve"> </w:t>
      </w:r>
      <w:r w:rsidRPr="00BE7E60">
        <w:rPr>
          <w:i/>
        </w:rPr>
        <w:t>Review of Economic Studies</w:t>
      </w:r>
      <w:r>
        <w:t xml:space="preserve">, vol. </w:t>
      </w:r>
      <w:r w:rsidRPr="004962A2">
        <w:t xml:space="preserve">32, </w:t>
      </w:r>
      <w:r>
        <w:t>pp. 137-160</w:t>
      </w:r>
    </w:p>
    <w:p w:rsidR="00222F49" w:rsidRPr="00055D51" w:rsidRDefault="00F808D4" w:rsidP="00055D51">
      <w:pPr>
        <w:spacing w:line="480" w:lineRule="auto"/>
        <w:ind w:left="720" w:hanging="720"/>
        <w:jc w:val="both"/>
        <w:rPr>
          <w:color w:val="000000"/>
        </w:rPr>
      </w:pPr>
      <w:r w:rsidRPr="006B5BA4">
        <w:rPr>
          <w:color w:val="000000" w:themeColor="text1"/>
        </w:rPr>
        <w:t xml:space="preserve">Zhang, and M. </w:t>
      </w:r>
      <w:proofErr w:type="spellStart"/>
      <w:r w:rsidRPr="006B5BA4">
        <w:rPr>
          <w:color w:val="000000" w:themeColor="text1"/>
        </w:rPr>
        <w:t>Mérette</w:t>
      </w:r>
      <w:proofErr w:type="spellEnd"/>
      <w:r w:rsidRPr="006B5BA4">
        <w:rPr>
          <w:color w:val="000000" w:themeColor="text1"/>
        </w:rPr>
        <w:t xml:space="preserve">, (2011), </w:t>
      </w:r>
      <w:r w:rsidR="004652F7" w:rsidRPr="008827A5">
        <w:rPr>
          <w:color w:val="000000"/>
        </w:rPr>
        <w:t>“</w:t>
      </w:r>
      <w:r w:rsidR="00317C01" w:rsidRPr="00317C01">
        <w:rPr>
          <w:color w:val="000000" w:themeColor="text1"/>
        </w:rPr>
        <w:t>National Transfer Accounts: The Case of Canada</w:t>
      </w:r>
      <w:r w:rsidR="004652F7" w:rsidRPr="008827A5">
        <w:rPr>
          <w:color w:val="000000"/>
        </w:rPr>
        <w:t>”</w:t>
      </w:r>
      <w:r w:rsidR="006B5BA4" w:rsidRPr="006B5BA4">
        <w:rPr>
          <w:color w:val="000000" w:themeColor="text1"/>
        </w:rPr>
        <w:t xml:space="preserve">, </w:t>
      </w:r>
      <w:r w:rsidR="004652F7">
        <w:rPr>
          <w:color w:val="000000" w:themeColor="text1"/>
        </w:rPr>
        <w:t xml:space="preserve">manuscript, </w:t>
      </w:r>
      <w:r w:rsidR="006B5BA4" w:rsidRPr="006B5BA4">
        <w:rPr>
          <w:color w:val="000000" w:themeColor="text1"/>
        </w:rPr>
        <w:t>Univers</w:t>
      </w:r>
      <w:bookmarkStart w:id="0" w:name="_GoBack"/>
      <w:bookmarkEnd w:id="0"/>
      <w:r w:rsidR="006B5BA4" w:rsidRPr="006B5BA4">
        <w:rPr>
          <w:color w:val="000000" w:themeColor="text1"/>
        </w:rPr>
        <w:t>ity of Ottawa, Ottawa</w:t>
      </w:r>
    </w:p>
    <w:sectPr w:rsidR="00222F49" w:rsidRPr="00055D51" w:rsidSect="000D68AF">
      <w:footerReference w:type="default" r:id="rId8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296" w:rsidRDefault="00FC3296" w:rsidP="00D770DB">
      <w:r>
        <w:separator/>
      </w:r>
    </w:p>
  </w:endnote>
  <w:endnote w:type="continuationSeparator" w:id="0">
    <w:p w:rsidR="00FC3296" w:rsidRDefault="00FC3296" w:rsidP="00D770D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3065113"/>
      <w:docPartObj>
        <w:docPartGallery w:val="Page Numbers (Bottom of Page)"/>
        <w:docPartUnique/>
      </w:docPartObj>
    </w:sdtPr>
    <w:sdtEndPr>
      <w:rPr>
        <w:noProof/>
      </w:rPr>
    </w:sdtEndPr>
    <w:sdtContent>
      <w:p w:rsidR="00CC793F" w:rsidRDefault="001944A6">
        <w:pPr>
          <w:pStyle w:val="Footer"/>
          <w:jc w:val="center"/>
        </w:pPr>
        <w:fldSimple w:instr=" PAGE   \* MERGEFORMAT ">
          <w:r w:rsidR="00B465DB">
            <w:rPr>
              <w:noProof/>
            </w:rPr>
            <w:t>9</w:t>
          </w:r>
        </w:fldSimple>
      </w:p>
    </w:sdtContent>
  </w:sdt>
  <w:p w:rsidR="00CC793F" w:rsidRDefault="00CC79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296" w:rsidRDefault="00FC3296" w:rsidP="00D770DB">
      <w:r>
        <w:separator/>
      </w:r>
    </w:p>
  </w:footnote>
  <w:footnote w:type="continuationSeparator" w:id="0">
    <w:p w:rsidR="00FC3296" w:rsidRDefault="00FC3296" w:rsidP="00D770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930D9"/>
    <w:multiLevelType w:val="hybridMultilevel"/>
    <w:tmpl w:val="04EE8AEC"/>
    <w:lvl w:ilvl="0" w:tplc="011E3DA6">
      <w:start w:val="1"/>
      <w:numFmt w:val="bullet"/>
      <w:lvlText w:val="•"/>
      <w:lvlJc w:val="left"/>
      <w:pPr>
        <w:tabs>
          <w:tab w:val="num" w:pos="720"/>
        </w:tabs>
        <w:ind w:left="720" w:hanging="360"/>
      </w:pPr>
      <w:rPr>
        <w:rFonts w:ascii="Arial" w:hAnsi="Arial" w:hint="default"/>
      </w:rPr>
    </w:lvl>
    <w:lvl w:ilvl="1" w:tplc="54E2BE16" w:tentative="1">
      <w:start w:val="1"/>
      <w:numFmt w:val="bullet"/>
      <w:lvlText w:val="•"/>
      <w:lvlJc w:val="left"/>
      <w:pPr>
        <w:tabs>
          <w:tab w:val="num" w:pos="1440"/>
        </w:tabs>
        <w:ind w:left="1440" w:hanging="360"/>
      </w:pPr>
      <w:rPr>
        <w:rFonts w:ascii="Arial" w:hAnsi="Arial" w:hint="default"/>
      </w:rPr>
    </w:lvl>
    <w:lvl w:ilvl="2" w:tplc="E1CC0FC4" w:tentative="1">
      <w:start w:val="1"/>
      <w:numFmt w:val="bullet"/>
      <w:lvlText w:val="•"/>
      <w:lvlJc w:val="left"/>
      <w:pPr>
        <w:tabs>
          <w:tab w:val="num" w:pos="2160"/>
        </w:tabs>
        <w:ind w:left="2160" w:hanging="360"/>
      </w:pPr>
      <w:rPr>
        <w:rFonts w:ascii="Arial" w:hAnsi="Arial" w:hint="default"/>
      </w:rPr>
    </w:lvl>
    <w:lvl w:ilvl="3" w:tplc="32E4B182" w:tentative="1">
      <w:start w:val="1"/>
      <w:numFmt w:val="bullet"/>
      <w:lvlText w:val="•"/>
      <w:lvlJc w:val="left"/>
      <w:pPr>
        <w:tabs>
          <w:tab w:val="num" w:pos="2880"/>
        </w:tabs>
        <w:ind w:left="2880" w:hanging="360"/>
      </w:pPr>
      <w:rPr>
        <w:rFonts w:ascii="Arial" w:hAnsi="Arial" w:hint="default"/>
      </w:rPr>
    </w:lvl>
    <w:lvl w:ilvl="4" w:tplc="3F1EB032" w:tentative="1">
      <w:start w:val="1"/>
      <w:numFmt w:val="bullet"/>
      <w:lvlText w:val="•"/>
      <w:lvlJc w:val="left"/>
      <w:pPr>
        <w:tabs>
          <w:tab w:val="num" w:pos="3600"/>
        </w:tabs>
        <w:ind w:left="3600" w:hanging="360"/>
      </w:pPr>
      <w:rPr>
        <w:rFonts w:ascii="Arial" w:hAnsi="Arial" w:hint="default"/>
      </w:rPr>
    </w:lvl>
    <w:lvl w:ilvl="5" w:tplc="2208D646" w:tentative="1">
      <w:start w:val="1"/>
      <w:numFmt w:val="bullet"/>
      <w:lvlText w:val="•"/>
      <w:lvlJc w:val="left"/>
      <w:pPr>
        <w:tabs>
          <w:tab w:val="num" w:pos="4320"/>
        </w:tabs>
        <w:ind w:left="4320" w:hanging="360"/>
      </w:pPr>
      <w:rPr>
        <w:rFonts w:ascii="Arial" w:hAnsi="Arial" w:hint="default"/>
      </w:rPr>
    </w:lvl>
    <w:lvl w:ilvl="6" w:tplc="C6703B4C" w:tentative="1">
      <w:start w:val="1"/>
      <w:numFmt w:val="bullet"/>
      <w:lvlText w:val="•"/>
      <w:lvlJc w:val="left"/>
      <w:pPr>
        <w:tabs>
          <w:tab w:val="num" w:pos="5040"/>
        </w:tabs>
        <w:ind w:left="5040" w:hanging="360"/>
      </w:pPr>
      <w:rPr>
        <w:rFonts w:ascii="Arial" w:hAnsi="Arial" w:hint="default"/>
      </w:rPr>
    </w:lvl>
    <w:lvl w:ilvl="7" w:tplc="2D881772" w:tentative="1">
      <w:start w:val="1"/>
      <w:numFmt w:val="bullet"/>
      <w:lvlText w:val="•"/>
      <w:lvlJc w:val="left"/>
      <w:pPr>
        <w:tabs>
          <w:tab w:val="num" w:pos="5760"/>
        </w:tabs>
        <w:ind w:left="5760" w:hanging="360"/>
      </w:pPr>
      <w:rPr>
        <w:rFonts w:ascii="Arial" w:hAnsi="Arial" w:hint="default"/>
      </w:rPr>
    </w:lvl>
    <w:lvl w:ilvl="8" w:tplc="F2EAA6C0" w:tentative="1">
      <w:start w:val="1"/>
      <w:numFmt w:val="bullet"/>
      <w:lvlText w:val="•"/>
      <w:lvlJc w:val="left"/>
      <w:pPr>
        <w:tabs>
          <w:tab w:val="num" w:pos="6480"/>
        </w:tabs>
        <w:ind w:left="6480" w:hanging="360"/>
      </w:pPr>
      <w:rPr>
        <w:rFonts w:ascii="Arial" w:hAnsi="Arial" w:hint="default"/>
      </w:rPr>
    </w:lvl>
  </w:abstractNum>
  <w:abstractNum w:abstractNumId="1">
    <w:nsid w:val="26485F27"/>
    <w:multiLevelType w:val="hybridMultilevel"/>
    <w:tmpl w:val="1398FAD2"/>
    <w:lvl w:ilvl="0" w:tplc="D0862CC4">
      <w:start w:val="1"/>
      <w:numFmt w:val="decimal"/>
      <w:lvlText w:val="%1."/>
      <w:lvlJc w:val="left"/>
      <w:pPr>
        <w:tabs>
          <w:tab w:val="num" w:pos="720"/>
        </w:tabs>
        <w:ind w:left="720" w:hanging="360"/>
      </w:pPr>
      <w:rPr>
        <w:rFonts w:ascii="Times New Roman" w:hAnsi="Times New Roman" w:cs="Times New Roman"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64A2FC0"/>
    <w:multiLevelType w:val="hybridMultilevel"/>
    <w:tmpl w:val="DC6E2B34"/>
    <w:lvl w:ilvl="0" w:tplc="BCACC826">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11266"/>
  </w:hdrShapeDefaults>
  <w:footnotePr>
    <w:footnote w:id="-1"/>
    <w:footnote w:id="0"/>
  </w:footnotePr>
  <w:endnotePr>
    <w:endnote w:id="-1"/>
    <w:endnote w:id="0"/>
  </w:endnotePr>
  <w:compat/>
  <w:rsids>
    <w:rsidRoot w:val="00D36E1F"/>
    <w:rsid w:val="0000490D"/>
    <w:rsid w:val="0001419E"/>
    <w:rsid w:val="00014780"/>
    <w:rsid w:val="00055D51"/>
    <w:rsid w:val="000562AB"/>
    <w:rsid w:val="0007658E"/>
    <w:rsid w:val="000D68AF"/>
    <w:rsid w:val="000D7ADA"/>
    <w:rsid w:val="001243D6"/>
    <w:rsid w:val="00147233"/>
    <w:rsid w:val="001944A6"/>
    <w:rsid w:val="001B500C"/>
    <w:rsid w:val="001C7D3F"/>
    <w:rsid w:val="001D1B6A"/>
    <w:rsid w:val="001E7CD3"/>
    <w:rsid w:val="001F773D"/>
    <w:rsid w:val="00200E5B"/>
    <w:rsid w:val="00202345"/>
    <w:rsid w:val="002036D6"/>
    <w:rsid w:val="00204C19"/>
    <w:rsid w:val="00211821"/>
    <w:rsid w:val="002139D1"/>
    <w:rsid w:val="00215341"/>
    <w:rsid w:val="00222F49"/>
    <w:rsid w:val="002319D6"/>
    <w:rsid w:val="00245E06"/>
    <w:rsid w:val="00247C33"/>
    <w:rsid w:val="002653D7"/>
    <w:rsid w:val="0027376A"/>
    <w:rsid w:val="00273A69"/>
    <w:rsid w:val="0029538D"/>
    <w:rsid w:val="002B325C"/>
    <w:rsid w:val="002B352D"/>
    <w:rsid w:val="002E5786"/>
    <w:rsid w:val="00302785"/>
    <w:rsid w:val="0031367F"/>
    <w:rsid w:val="00317C01"/>
    <w:rsid w:val="00345507"/>
    <w:rsid w:val="00356198"/>
    <w:rsid w:val="00370CD0"/>
    <w:rsid w:val="003745DE"/>
    <w:rsid w:val="003837F4"/>
    <w:rsid w:val="0039079B"/>
    <w:rsid w:val="003948ED"/>
    <w:rsid w:val="003B1DF5"/>
    <w:rsid w:val="003B62AC"/>
    <w:rsid w:val="003C3DB7"/>
    <w:rsid w:val="003D3138"/>
    <w:rsid w:val="004038A9"/>
    <w:rsid w:val="00405C75"/>
    <w:rsid w:val="00413B7E"/>
    <w:rsid w:val="004310F5"/>
    <w:rsid w:val="00437FB3"/>
    <w:rsid w:val="004433E8"/>
    <w:rsid w:val="00443567"/>
    <w:rsid w:val="004652F7"/>
    <w:rsid w:val="00465B3B"/>
    <w:rsid w:val="00491581"/>
    <w:rsid w:val="00493A71"/>
    <w:rsid w:val="004D1AFD"/>
    <w:rsid w:val="004E4663"/>
    <w:rsid w:val="00501A3F"/>
    <w:rsid w:val="005021E8"/>
    <w:rsid w:val="00540D92"/>
    <w:rsid w:val="00541ED9"/>
    <w:rsid w:val="00544FDC"/>
    <w:rsid w:val="00560C0F"/>
    <w:rsid w:val="00570BFD"/>
    <w:rsid w:val="00575753"/>
    <w:rsid w:val="00576A32"/>
    <w:rsid w:val="005943A8"/>
    <w:rsid w:val="005979F0"/>
    <w:rsid w:val="005A4104"/>
    <w:rsid w:val="005A6FC7"/>
    <w:rsid w:val="005B0861"/>
    <w:rsid w:val="005C03D8"/>
    <w:rsid w:val="005D7FB7"/>
    <w:rsid w:val="005E16B0"/>
    <w:rsid w:val="005F105F"/>
    <w:rsid w:val="005F6F59"/>
    <w:rsid w:val="006014E3"/>
    <w:rsid w:val="00621FFA"/>
    <w:rsid w:val="006432A2"/>
    <w:rsid w:val="00645E32"/>
    <w:rsid w:val="00655F1A"/>
    <w:rsid w:val="00665B80"/>
    <w:rsid w:val="0068164C"/>
    <w:rsid w:val="006B5BA4"/>
    <w:rsid w:val="006C116C"/>
    <w:rsid w:val="006E4D35"/>
    <w:rsid w:val="00706E55"/>
    <w:rsid w:val="00722738"/>
    <w:rsid w:val="00750FE5"/>
    <w:rsid w:val="007731D4"/>
    <w:rsid w:val="00777A72"/>
    <w:rsid w:val="007C4977"/>
    <w:rsid w:val="007C6C01"/>
    <w:rsid w:val="007D76C9"/>
    <w:rsid w:val="007D7A5E"/>
    <w:rsid w:val="007E3254"/>
    <w:rsid w:val="007E72BD"/>
    <w:rsid w:val="00805DB4"/>
    <w:rsid w:val="00814BAD"/>
    <w:rsid w:val="00824B47"/>
    <w:rsid w:val="00825180"/>
    <w:rsid w:val="00833CDB"/>
    <w:rsid w:val="008437DB"/>
    <w:rsid w:val="008473EE"/>
    <w:rsid w:val="00852C52"/>
    <w:rsid w:val="00855B09"/>
    <w:rsid w:val="00855F54"/>
    <w:rsid w:val="00864C6D"/>
    <w:rsid w:val="008827A5"/>
    <w:rsid w:val="00886CD6"/>
    <w:rsid w:val="008B5B6F"/>
    <w:rsid w:val="008D7F87"/>
    <w:rsid w:val="008E0637"/>
    <w:rsid w:val="008E4BC6"/>
    <w:rsid w:val="008F0C9F"/>
    <w:rsid w:val="008F12A4"/>
    <w:rsid w:val="009049AC"/>
    <w:rsid w:val="00907FA2"/>
    <w:rsid w:val="00913AFE"/>
    <w:rsid w:val="0092685C"/>
    <w:rsid w:val="00931BF2"/>
    <w:rsid w:val="009361D2"/>
    <w:rsid w:val="0095190A"/>
    <w:rsid w:val="00951C0C"/>
    <w:rsid w:val="009643F8"/>
    <w:rsid w:val="00987DF2"/>
    <w:rsid w:val="009B41EB"/>
    <w:rsid w:val="009C349A"/>
    <w:rsid w:val="009D3BFC"/>
    <w:rsid w:val="009F2927"/>
    <w:rsid w:val="00A01711"/>
    <w:rsid w:val="00A04589"/>
    <w:rsid w:val="00A06425"/>
    <w:rsid w:val="00A1127B"/>
    <w:rsid w:val="00A17230"/>
    <w:rsid w:val="00A234FD"/>
    <w:rsid w:val="00A323A4"/>
    <w:rsid w:val="00A36EDB"/>
    <w:rsid w:val="00A443D8"/>
    <w:rsid w:val="00A458B5"/>
    <w:rsid w:val="00A52501"/>
    <w:rsid w:val="00A63D18"/>
    <w:rsid w:val="00A64FE2"/>
    <w:rsid w:val="00A82292"/>
    <w:rsid w:val="00AD2DA2"/>
    <w:rsid w:val="00AD2E72"/>
    <w:rsid w:val="00AE3DCD"/>
    <w:rsid w:val="00B06931"/>
    <w:rsid w:val="00B2249E"/>
    <w:rsid w:val="00B225DC"/>
    <w:rsid w:val="00B30B1B"/>
    <w:rsid w:val="00B37D00"/>
    <w:rsid w:val="00B465DB"/>
    <w:rsid w:val="00B57E8C"/>
    <w:rsid w:val="00B60BDE"/>
    <w:rsid w:val="00B9252E"/>
    <w:rsid w:val="00BA691F"/>
    <w:rsid w:val="00BB78BD"/>
    <w:rsid w:val="00BC552A"/>
    <w:rsid w:val="00BD14AA"/>
    <w:rsid w:val="00BE175B"/>
    <w:rsid w:val="00BE2945"/>
    <w:rsid w:val="00C309CA"/>
    <w:rsid w:val="00C340D2"/>
    <w:rsid w:val="00C3739C"/>
    <w:rsid w:val="00C45EBE"/>
    <w:rsid w:val="00C513AB"/>
    <w:rsid w:val="00C62F84"/>
    <w:rsid w:val="00C73463"/>
    <w:rsid w:val="00C84CFD"/>
    <w:rsid w:val="00C8539C"/>
    <w:rsid w:val="00C9457D"/>
    <w:rsid w:val="00CA2E48"/>
    <w:rsid w:val="00CA7A8A"/>
    <w:rsid w:val="00CB47D6"/>
    <w:rsid w:val="00CC2A4D"/>
    <w:rsid w:val="00CC343F"/>
    <w:rsid w:val="00CC793F"/>
    <w:rsid w:val="00D31591"/>
    <w:rsid w:val="00D36E1F"/>
    <w:rsid w:val="00D37163"/>
    <w:rsid w:val="00D4466D"/>
    <w:rsid w:val="00D71F59"/>
    <w:rsid w:val="00D770DB"/>
    <w:rsid w:val="00D80CF9"/>
    <w:rsid w:val="00D82824"/>
    <w:rsid w:val="00D91524"/>
    <w:rsid w:val="00D9479A"/>
    <w:rsid w:val="00DA13E6"/>
    <w:rsid w:val="00DA679D"/>
    <w:rsid w:val="00DA6A62"/>
    <w:rsid w:val="00DB41C3"/>
    <w:rsid w:val="00DB6C9F"/>
    <w:rsid w:val="00DD7F5C"/>
    <w:rsid w:val="00DE568C"/>
    <w:rsid w:val="00DF3E16"/>
    <w:rsid w:val="00E01469"/>
    <w:rsid w:val="00E103F5"/>
    <w:rsid w:val="00E1471D"/>
    <w:rsid w:val="00E149C4"/>
    <w:rsid w:val="00E26B1B"/>
    <w:rsid w:val="00E32DEE"/>
    <w:rsid w:val="00E34D8F"/>
    <w:rsid w:val="00E7186C"/>
    <w:rsid w:val="00EB1680"/>
    <w:rsid w:val="00EB544A"/>
    <w:rsid w:val="00EC0403"/>
    <w:rsid w:val="00EC0634"/>
    <w:rsid w:val="00ED385C"/>
    <w:rsid w:val="00ED5403"/>
    <w:rsid w:val="00EE67F6"/>
    <w:rsid w:val="00EF0B8C"/>
    <w:rsid w:val="00EF1B81"/>
    <w:rsid w:val="00EF4594"/>
    <w:rsid w:val="00F007FB"/>
    <w:rsid w:val="00F03E0E"/>
    <w:rsid w:val="00F052E8"/>
    <w:rsid w:val="00F355ED"/>
    <w:rsid w:val="00F53366"/>
    <w:rsid w:val="00F5454A"/>
    <w:rsid w:val="00F62EA9"/>
    <w:rsid w:val="00F63C84"/>
    <w:rsid w:val="00F66FF7"/>
    <w:rsid w:val="00F74BBB"/>
    <w:rsid w:val="00F808D4"/>
    <w:rsid w:val="00F8484A"/>
    <w:rsid w:val="00F85409"/>
    <w:rsid w:val="00F87985"/>
    <w:rsid w:val="00F97549"/>
    <w:rsid w:val="00FA5F2E"/>
    <w:rsid w:val="00FC3296"/>
    <w:rsid w:val="00FD036E"/>
    <w:rsid w:val="00FD0BB3"/>
    <w:rsid w:val="00FD0F2C"/>
    <w:rsid w:val="00FE5B07"/>
    <w:rsid w:val="00FE764B"/>
    <w:rsid w:val="00FF653A"/>
    <w:rsid w:val="00FF7C1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68AF"/>
    <w:rPr>
      <w:sz w:val="24"/>
      <w:szCs w:val="24"/>
    </w:rPr>
  </w:style>
  <w:style w:type="paragraph" w:styleId="Heading1">
    <w:name w:val="heading 1"/>
    <w:basedOn w:val="Normal"/>
    <w:next w:val="Normal"/>
    <w:link w:val="Heading1Char"/>
    <w:qFormat/>
    <w:rsid w:val="00DA6A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E0637"/>
    <w:pPr>
      <w:keepNext/>
      <w:spacing w:before="240" w:after="60"/>
      <w:outlineLvl w:val="1"/>
    </w:pPr>
    <w:rPr>
      <w:rFonts w:ascii="Arial" w:hAnsi="Arial" w:cs="Arial"/>
      <w:b/>
      <w:bCs/>
      <w:i/>
      <w:iCs/>
      <w:sz w:val="28"/>
      <w:szCs w:val="28"/>
      <w:lang w:val="en-CA" w:eastAsia="en-CA"/>
    </w:rPr>
  </w:style>
  <w:style w:type="paragraph" w:styleId="Heading3">
    <w:name w:val="heading 3"/>
    <w:basedOn w:val="Normal"/>
    <w:next w:val="Normal"/>
    <w:link w:val="Heading3Char"/>
    <w:semiHidden/>
    <w:unhideWhenUsed/>
    <w:qFormat/>
    <w:rsid w:val="008827A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5F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855F54"/>
    <w:rPr>
      <w:rFonts w:ascii="Tahoma" w:hAnsi="Tahoma" w:cs="Tahoma"/>
      <w:sz w:val="16"/>
      <w:szCs w:val="16"/>
      <w:lang w:val="en-US" w:eastAsia="en-US"/>
    </w:rPr>
  </w:style>
  <w:style w:type="character" w:customStyle="1" w:styleId="BalloonTextChar">
    <w:name w:val="Balloon Text Char"/>
    <w:link w:val="BalloonText"/>
    <w:semiHidden/>
    <w:locked/>
    <w:rsid w:val="00855F54"/>
    <w:rPr>
      <w:rFonts w:ascii="Tahoma" w:hAnsi="Tahoma" w:cs="Tahoma"/>
      <w:sz w:val="16"/>
      <w:szCs w:val="16"/>
      <w:lang w:val="en-US" w:eastAsia="en-US" w:bidi="ar-SA"/>
    </w:rPr>
  </w:style>
  <w:style w:type="paragraph" w:styleId="FootnoteText">
    <w:name w:val="footnote text"/>
    <w:basedOn w:val="Normal"/>
    <w:link w:val="FootnoteTextChar"/>
    <w:rsid w:val="00D770DB"/>
    <w:rPr>
      <w:sz w:val="20"/>
      <w:szCs w:val="20"/>
    </w:rPr>
  </w:style>
  <w:style w:type="character" w:customStyle="1" w:styleId="FootnoteTextChar">
    <w:name w:val="Footnote Text Char"/>
    <w:basedOn w:val="DefaultParagraphFont"/>
    <w:link w:val="FootnoteText"/>
    <w:rsid w:val="00D770DB"/>
  </w:style>
  <w:style w:type="character" w:styleId="FootnoteReference">
    <w:name w:val="footnote reference"/>
    <w:basedOn w:val="DefaultParagraphFont"/>
    <w:rsid w:val="00D770DB"/>
    <w:rPr>
      <w:vertAlign w:val="superscript"/>
    </w:rPr>
  </w:style>
  <w:style w:type="character" w:customStyle="1" w:styleId="Heading2Char">
    <w:name w:val="Heading 2 Char"/>
    <w:basedOn w:val="DefaultParagraphFont"/>
    <w:link w:val="Heading2"/>
    <w:rsid w:val="008E0637"/>
    <w:rPr>
      <w:rFonts w:ascii="Arial" w:hAnsi="Arial" w:cs="Arial"/>
      <w:b/>
      <w:bCs/>
      <w:i/>
      <w:iCs/>
      <w:sz w:val="28"/>
      <w:szCs w:val="28"/>
      <w:lang w:val="en-CA" w:eastAsia="en-CA"/>
    </w:rPr>
  </w:style>
  <w:style w:type="character" w:customStyle="1" w:styleId="Heading1Char">
    <w:name w:val="Heading 1 Char"/>
    <w:basedOn w:val="DefaultParagraphFont"/>
    <w:link w:val="Heading1"/>
    <w:rsid w:val="00DA6A6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443D8"/>
    <w:rPr>
      <w:color w:val="0000FF" w:themeColor="hyperlink"/>
      <w:u w:val="single"/>
    </w:rPr>
  </w:style>
  <w:style w:type="character" w:customStyle="1" w:styleId="date-display-start">
    <w:name w:val="date-display-start"/>
    <w:basedOn w:val="DefaultParagraphFont"/>
    <w:rsid w:val="00913AFE"/>
  </w:style>
  <w:style w:type="character" w:customStyle="1" w:styleId="date-display-separator">
    <w:name w:val="date-display-separator"/>
    <w:basedOn w:val="DefaultParagraphFont"/>
    <w:rsid w:val="00913AFE"/>
  </w:style>
  <w:style w:type="character" w:customStyle="1" w:styleId="date-display-end">
    <w:name w:val="date-display-end"/>
    <w:basedOn w:val="DefaultParagraphFont"/>
    <w:rsid w:val="00913AFE"/>
  </w:style>
  <w:style w:type="character" w:styleId="Emphasis">
    <w:name w:val="Emphasis"/>
    <w:basedOn w:val="DefaultParagraphFont"/>
    <w:uiPriority w:val="20"/>
    <w:qFormat/>
    <w:rsid w:val="00913AFE"/>
    <w:rPr>
      <w:i/>
      <w:iCs/>
    </w:rPr>
  </w:style>
  <w:style w:type="character" w:customStyle="1" w:styleId="locality">
    <w:name w:val="locality"/>
    <w:basedOn w:val="DefaultParagraphFont"/>
    <w:rsid w:val="00913AFE"/>
  </w:style>
  <w:style w:type="paragraph" w:styleId="Header">
    <w:name w:val="header"/>
    <w:basedOn w:val="Normal"/>
    <w:link w:val="HeaderChar"/>
    <w:rsid w:val="00913AFE"/>
    <w:pPr>
      <w:tabs>
        <w:tab w:val="center" w:pos="4513"/>
        <w:tab w:val="right" w:pos="9026"/>
      </w:tabs>
    </w:pPr>
  </w:style>
  <w:style w:type="character" w:customStyle="1" w:styleId="HeaderChar">
    <w:name w:val="Header Char"/>
    <w:basedOn w:val="DefaultParagraphFont"/>
    <w:link w:val="Header"/>
    <w:rsid w:val="00913AFE"/>
    <w:rPr>
      <w:sz w:val="24"/>
      <w:szCs w:val="24"/>
    </w:rPr>
  </w:style>
  <w:style w:type="paragraph" w:styleId="Footer">
    <w:name w:val="footer"/>
    <w:basedOn w:val="Normal"/>
    <w:link w:val="FooterChar"/>
    <w:uiPriority w:val="99"/>
    <w:rsid w:val="00913AFE"/>
    <w:pPr>
      <w:tabs>
        <w:tab w:val="center" w:pos="4513"/>
        <w:tab w:val="right" w:pos="9026"/>
      </w:tabs>
    </w:pPr>
  </w:style>
  <w:style w:type="character" w:customStyle="1" w:styleId="FooterChar">
    <w:name w:val="Footer Char"/>
    <w:basedOn w:val="DefaultParagraphFont"/>
    <w:link w:val="Footer"/>
    <w:uiPriority w:val="99"/>
    <w:rsid w:val="00913AFE"/>
    <w:rPr>
      <w:sz w:val="24"/>
      <w:szCs w:val="24"/>
    </w:rPr>
  </w:style>
  <w:style w:type="character" w:customStyle="1" w:styleId="Heading3Char">
    <w:name w:val="Heading 3 Char"/>
    <w:basedOn w:val="DefaultParagraphFont"/>
    <w:link w:val="Heading3"/>
    <w:semiHidden/>
    <w:rsid w:val="008827A5"/>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B544A"/>
  </w:style>
  <w:style w:type="paragraph" w:styleId="Revision">
    <w:name w:val="Revision"/>
    <w:hidden/>
    <w:uiPriority w:val="99"/>
    <w:semiHidden/>
    <w:rsid w:val="0007658E"/>
    <w:rPr>
      <w:sz w:val="24"/>
      <w:szCs w:val="24"/>
    </w:rPr>
  </w:style>
  <w:style w:type="character" w:customStyle="1" w:styleId="ptbrand5">
    <w:name w:val="ptbrand5"/>
    <w:basedOn w:val="DefaultParagraphFont"/>
    <w:rsid w:val="00437FB3"/>
  </w:style>
  <w:style w:type="character" w:customStyle="1" w:styleId="bindingandrelease">
    <w:name w:val="bindingandrelease"/>
    <w:basedOn w:val="DefaultParagraphFont"/>
    <w:rsid w:val="00437FB3"/>
  </w:style>
  <w:style w:type="character" w:customStyle="1" w:styleId="toefasttrack1">
    <w:name w:val="toefasttrack1"/>
    <w:basedOn w:val="DefaultParagraphFont"/>
    <w:rsid w:val="00437FB3"/>
    <w:rPr>
      <w:rFonts w:ascii="Arial" w:hAnsi="Arial" w:cs="Arial" w:hint="default"/>
      <w:b w:val="0"/>
      <w:bCs w:val="0"/>
      <w:vanish w:val="0"/>
      <w:webHidden w:val="0"/>
      <w:color w:val="666666"/>
      <w:sz w:val="19"/>
      <w:szCs w:val="19"/>
      <w:specVanish w:val="0"/>
    </w:rPr>
  </w:style>
  <w:style w:type="character" w:customStyle="1" w:styleId="sssfree1">
    <w:name w:val="sssfree1"/>
    <w:basedOn w:val="DefaultParagraphFont"/>
    <w:rsid w:val="00437FB3"/>
    <w:rPr>
      <w:b/>
      <w:bCs/>
    </w:rPr>
  </w:style>
  <w:style w:type="character" w:customStyle="1" w:styleId="ssslastline11">
    <w:name w:val="ssslastline11"/>
    <w:basedOn w:val="DefaultParagraphFont"/>
    <w:rsid w:val="00437FB3"/>
  </w:style>
  <w:style w:type="character" w:customStyle="1" w:styleId="WPPageNumber">
    <w:name w:val="WP_Page Number"/>
    <w:basedOn w:val="DefaultParagraphFont"/>
    <w:rsid w:val="002B352D"/>
  </w:style>
  <w:style w:type="character" w:styleId="PlaceholderText">
    <w:name w:val="Placeholder Text"/>
    <w:basedOn w:val="DefaultParagraphFont"/>
    <w:uiPriority w:val="99"/>
    <w:semiHidden/>
    <w:rsid w:val="00EC04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68AF"/>
    <w:rPr>
      <w:sz w:val="24"/>
      <w:szCs w:val="24"/>
    </w:rPr>
  </w:style>
  <w:style w:type="paragraph" w:styleId="Heading1">
    <w:name w:val="heading 1"/>
    <w:basedOn w:val="Normal"/>
    <w:next w:val="Normal"/>
    <w:link w:val="Heading1Char"/>
    <w:qFormat/>
    <w:rsid w:val="00DA6A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E0637"/>
    <w:pPr>
      <w:keepNext/>
      <w:spacing w:before="240" w:after="60"/>
      <w:outlineLvl w:val="1"/>
    </w:pPr>
    <w:rPr>
      <w:rFonts w:ascii="Arial" w:hAnsi="Arial" w:cs="Arial"/>
      <w:b/>
      <w:bCs/>
      <w:i/>
      <w:iCs/>
      <w:sz w:val="28"/>
      <w:szCs w:val="28"/>
      <w:lang w:val="en-CA" w:eastAsia="en-CA"/>
    </w:rPr>
  </w:style>
  <w:style w:type="paragraph" w:styleId="Heading3">
    <w:name w:val="heading 3"/>
    <w:basedOn w:val="Normal"/>
    <w:next w:val="Normal"/>
    <w:link w:val="Heading3Char"/>
    <w:semiHidden/>
    <w:unhideWhenUsed/>
    <w:qFormat/>
    <w:rsid w:val="008827A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5F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855F54"/>
    <w:rPr>
      <w:rFonts w:ascii="Tahoma" w:hAnsi="Tahoma" w:cs="Tahoma"/>
      <w:sz w:val="16"/>
      <w:szCs w:val="16"/>
      <w:lang w:val="en-US" w:eastAsia="en-US"/>
    </w:rPr>
  </w:style>
  <w:style w:type="character" w:customStyle="1" w:styleId="BalloonTextChar">
    <w:name w:val="Balloon Text Char"/>
    <w:link w:val="BalloonText"/>
    <w:semiHidden/>
    <w:locked/>
    <w:rsid w:val="00855F54"/>
    <w:rPr>
      <w:rFonts w:ascii="Tahoma" w:hAnsi="Tahoma" w:cs="Tahoma"/>
      <w:sz w:val="16"/>
      <w:szCs w:val="16"/>
      <w:lang w:val="en-US" w:eastAsia="en-US" w:bidi="ar-SA"/>
    </w:rPr>
  </w:style>
  <w:style w:type="paragraph" w:styleId="FootnoteText">
    <w:name w:val="footnote text"/>
    <w:basedOn w:val="Normal"/>
    <w:link w:val="FootnoteTextChar"/>
    <w:rsid w:val="00D770DB"/>
    <w:rPr>
      <w:sz w:val="20"/>
      <w:szCs w:val="20"/>
    </w:rPr>
  </w:style>
  <w:style w:type="character" w:customStyle="1" w:styleId="FootnoteTextChar">
    <w:name w:val="Footnote Text Char"/>
    <w:basedOn w:val="DefaultParagraphFont"/>
    <w:link w:val="FootnoteText"/>
    <w:rsid w:val="00D770DB"/>
  </w:style>
  <w:style w:type="character" w:styleId="FootnoteReference">
    <w:name w:val="footnote reference"/>
    <w:basedOn w:val="DefaultParagraphFont"/>
    <w:rsid w:val="00D770DB"/>
    <w:rPr>
      <w:vertAlign w:val="superscript"/>
    </w:rPr>
  </w:style>
  <w:style w:type="character" w:customStyle="1" w:styleId="Heading2Char">
    <w:name w:val="Heading 2 Char"/>
    <w:basedOn w:val="DefaultParagraphFont"/>
    <w:link w:val="Heading2"/>
    <w:rsid w:val="008E0637"/>
    <w:rPr>
      <w:rFonts w:ascii="Arial" w:hAnsi="Arial" w:cs="Arial"/>
      <w:b/>
      <w:bCs/>
      <w:i/>
      <w:iCs/>
      <w:sz w:val="28"/>
      <w:szCs w:val="28"/>
      <w:lang w:val="en-CA" w:eastAsia="en-CA"/>
    </w:rPr>
  </w:style>
  <w:style w:type="character" w:customStyle="1" w:styleId="Heading1Char">
    <w:name w:val="Heading 1 Char"/>
    <w:basedOn w:val="DefaultParagraphFont"/>
    <w:link w:val="Heading1"/>
    <w:rsid w:val="00DA6A6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443D8"/>
    <w:rPr>
      <w:color w:val="0000FF" w:themeColor="hyperlink"/>
      <w:u w:val="single"/>
    </w:rPr>
  </w:style>
  <w:style w:type="character" w:customStyle="1" w:styleId="date-display-start">
    <w:name w:val="date-display-start"/>
    <w:basedOn w:val="DefaultParagraphFont"/>
    <w:rsid w:val="00913AFE"/>
  </w:style>
  <w:style w:type="character" w:customStyle="1" w:styleId="date-display-separator">
    <w:name w:val="date-display-separator"/>
    <w:basedOn w:val="DefaultParagraphFont"/>
    <w:rsid w:val="00913AFE"/>
  </w:style>
  <w:style w:type="character" w:customStyle="1" w:styleId="date-display-end">
    <w:name w:val="date-display-end"/>
    <w:basedOn w:val="DefaultParagraphFont"/>
    <w:rsid w:val="00913AFE"/>
  </w:style>
  <w:style w:type="character" w:styleId="Emphasis">
    <w:name w:val="Emphasis"/>
    <w:basedOn w:val="DefaultParagraphFont"/>
    <w:uiPriority w:val="20"/>
    <w:qFormat/>
    <w:rsid w:val="00913AFE"/>
    <w:rPr>
      <w:i/>
      <w:iCs/>
    </w:rPr>
  </w:style>
  <w:style w:type="character" w:customStyle="1" w:styleId="locality">
    <w:name w:val="locality"/>
    <w:basedOn w:val="DefaultParagraphFont"/>
    <w:rsid w:val="00913AFE"/>
  </w:style>
  <w:style w:type="paragraph" w:styleId="Header">
    <w:name w:val="header"/>
    <w:basedOn w:val="Normal"/>
    <w:link w:val="HeaderChar"/>
    <w:rsid w:val="00913AFE"/>
    <w:pPr>
      <w:tabs>
        <w:tab w:val="center" w:pos="4513"/>
        <w:tab w:val="right" w:pos="9026"/>
      </w:tabs>
    </w:pPr>
  </w:style>
  <w:style w:type="character" w:customStyle="1" w:styleId="HeaderChar">
    <w:name w:val="Header Char"/>
    <w:basedOn w:val="DefaultParagraphFont"/>
    <w:link w:val="Header"/>
    <w:rsid w:val="00913AFE"/>
    <w:rPr>
      <w:sz w:val="24"/>
      <w:szCs w:val="24"/>
    </w:rPr>
  </w:style>
  <w:style w:type="paragraph" w:styleId="Footer">
    <w:name w:val="footer"/>
    <w:basedOn w:val="Normal"/>
    <w:link w:val="FooterChar"/>
    <w:uiPriority w:val="99"/>
    <w:rsid w:val="00913AFE"/>
    <w:pPr>
      <w:tabs>
        <w:tab w:val="center" w:pos="4513"/>
        <w:tab w:val="right" w:pos="9026"/>
      </w:tabs>
    </w:pPr>
  </w:style>
  <w:style w:type="character" w:customStyle="1" w:styleId="FooterChar">
    <w:name w:val="Footer Char"/>
    <w:basedOn w:val="DefaultParagraphFont"/>
    <w:link w:val="Footer"/>
    <w:uiPriority w:val="99"/>
    <w:rsid w:val="00913AFE"/>
    <w:rPr>
      <w:sz w:val="24"/>
      <w:szCs w:val="24"/>
    </w:rPr>
  </w:style>
  <w:style w:type="character" w:customStyle="1" w:styleId="Heading3Char">
    <w:name w:val="Heading 3 Char"/>
    <w:basedOn w:val="DefaultParagraphFont"/>
    <w:link w:val="Heading3"/>
    <w:semiHidden/>
    <w:rsid w:val="008827A5"/>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B544A"/>
  </w:style>
  <w:style w:type="paragraph" w:styleId="Revision">
    <w:name w:val="Revision"/>
    <w:hidden/>
    <w:uiPriority w:val="99"/>
    <w:semiHidden/>
    <w:rsid w:val="0007658E"/>
    <w:rPr>
      <w:sz w:val="24"/>
      <w:szCs w:val="24"/>
    </w:rPr>
  </w:style>
  <w:style w:type="character" w:customStyle="1" w:styleId="ptbrand5">
    <w:name w:val="ptbrand5"/>
    <w:basedOn w:val="DefaultParagraphFont"/>
    <w:rsid w:val="00437FB3"/>
  </w:style>
  <w:style w:type="character" w:customStyle="1" w:styleId="bindingandrelease">
    <w:name w:val="bindingandrelease"/>
    <w:basedOn w:val="DefaultParagraphFont"/>
    <w:rsid w:val="00437FB3"/>
  </w:style>
  <w:style w:type="character" w:customStyle="1" w:styleId="toefasttrack1">
    <w:name w:val="toefasttrack1"/>
    <w:basedOn w:val="DefaultParagraphFont"/>
    <w:rsid w:val="00437FB3"/>
    <w:rPr>
      <w:rFonts w:ascii="Arial" w:hAnsi="Arial" w:cs="Arial" w:hint="default"/>
      <w:b w:val="0"/>
      <w:bCs w:val="0"/>
      <w:vanish w:val="0"/>
      <w:webHidden w:val="0"/>
      <w:color w:val="666666"/>
      <w:sz w:val="19"/>
      <w:szCs w:val="19"/>
      <w:specVanish w:val="0"/>
    </w:rPr>
  </w:style>
  <w:style w:type="character" w:customStyle="1" w:styleId="sssfree1">
    <w:name w:val="sssfree1"/>
    <w:basedOn w:val="DefaultParagraphFont"/>
    <w:rsid w:val="00437FB3"/>
    <w:rPr>
      <w:b/>
      <w:bCs/>
    </w:rPr>
  </w:style>
  <w:style w:type="character" w:customStyle="1" w:styleId="ssslastline11">
    <w:name w:val="ssslastline11"/>
    <w:basedOn w:val="DefaultParagraphFont"/>
    <w:rsid w:val="00437FB3"/>
  </w:style>
  <w:style w:type="character" w:customStyle="1" w:styleId="WPPageNumber">
    <w:name w:val="WP_Page Number"/>
    <w:basedOn w:val="DefaultParagraphFont"/>
    <w:rsid w:val="002B352D"/>
  </w:style>
</w:styles>
</file>

<file path=word/webSettings.xml><?xml version="1.0" encoding="utf-8"?>
<w:webSettings xmlns:r="http://schemas.openxmlformats.org/officeDocument/2006/relationships" xmlns:w="http://schemas.openxmlformats.org/wordprocessingml/2006/main">
  <w:divs>
    <w:div w:id="201790673">
      <w:bodyDiv w:val="1"/>
      <w:marLeft w:val="0"/>
      <w:marRight w:val="0"/>
      <w:marTop w:val="0"/>
      <w:marBottom w:val="0"/>
      <w:divBdr>
        <w:top w:val="none" w:sz="0" w:space="0" w:color="auto"/>
        <w:left w:val="none" w:sz="0" w:space="0" w:color="auto"/>
        <w:bottom w:val="none" w:sz="0" w:space="0" w:color="auto"/>
        <w:right w:val="none" w:sz="0" w:space="0" w:color="auto"/>
      </w:divBdr>
      <w:divsChild>
        <w:div w:id="694774048">
          <w:marLeft w:val="0"/>
          <w:marRight w:val="0"/>
          <w:marTop w:val="0"/>
          <w:marBottom w:val="0"/>
          <w:divBdr>
            <w:top w:val="none" w:sz="0" w:space="0" w:color="auto"/>
            <w:left w:val="none" w:sz="0" w:space="0" w:color="auto"/>
            <w:bottom w:val="none" w:sz="0" w:space="0" w:color="auto"/>
            <w:right w:val="none" w:sz="0" w:space="0" w:color="auto"/>
          </w:divBdr>
          <w:divsChild>
            <w:div w:id="161967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40963">
      <w:bodyDiv w:val="1"/>
      <w:marLeft w:val="120"/>
      <w:marRight w:val="120"/>
      <w:marTop w:val="0"/>
      <w:marBottom w:val="0"/>
      <w:divBdr>
        <w:top w:val="none" w:sz="0" w:space="0" w:color="auto"/>
        <w:left w:val="none" w:sz="0" w:space="0" w:color="auto"/>
        <w:bottom w:val="none" w:sz="0" w:space="0" w:color="auto"/>
        <w:right w:val="none" w:sz="0" w:space="0" w:color="auto"/>
      </w:divBdr>
      <w:divsChild>
        <w:div w:id="2081126986">
          <w:marLeft w:val="0"/>
          <w:marRight w:val="0"/>
          <w:marTop w:val="0"/>
          <w:marBottom w:val="0"/>
          <w:divBdr>
            <w:top w:val="none" w:sz="0" w:space="0" w:color="auto"/>
            <w:left w:val="none" w:sz="0" w:space="0" w:color="auto"/>
            <w:bottom w:val="none" w:sz="0" w:space="0" w:color="auto"/>
            <w:right w:val="none" w:sz="0" w:space="0" w:color="auto"/>
          </w:divBdr>
          <w:divsChild>
            <w:div w:id="925305373">
              <w:marLeft w:val="0"/>
              <w:marRight w:val="0"/>
              <w:marTop w:val="0"/>
              <w:marBottom w:val="0"/>
              <w:divBdr>
                <w:top w:val="none" w:sz="0" w:space="0" w:color="auto"/>
                <w:left w:val="none" w:sz="0" w:space="0" w:color="auto"/>
                <w:bottom w:val="none" w:sz="0" w:space="0" w:color="auto"/>
                <w:right w:val="none" w:sz="0" w:space="0" w:color="auto"/>
              </w:divBdr>
              <w:divsChild>
                <w:div w:id="388044089">
                  <w:marLeft w:val="-3150"/>
                  <w:marRight w:val="0"/>
                  <w:marTop w:val="0"/>
                  <w:marBottom w:val="0"/>
                  <w:divBdr>
                    <w:top w:val="none" w:sz="0" w:space="0" w:color="auto"/>
                    <w:left w:val="none" w:sz="0" w:space="0" w:color="auto"/>
                    <w:bottom w:val="none" w:sz="0" w:space="0" w:color="auto"/>
                    <w:right w:val="none" w:sz="0" w:space="0" w:color="auto"/>
                  </w:divBdr>
                  <w:divsChild>
                    <w:div w:id="1029993547">
                      <w:marLeft w:val="3150"/>
                      <w:marRight w:val="0"/>
                      <w:marTop w:val="0"/>
                      <w:marBottom w:val="0"/>
                      <w:divBdr>
                        <w:top w:val="none" w:sz="0" w:space="0" w:color="auto"/>
                        <w:left w:val="none" w:sz="0" w:space="0" w:color="auto"/>
                        <w:bottom w:val="none" w:sz="0" w:space="0" w:color="auto"/>
                        <w:right w:val="none" w:sz="0" w:space="0" w:color="auto"/>
                      </w:divBdr>
                      <w:divsChild>
                        <w:div w:id="1083914446">
                          <w:marLeft w:val="0"/>
                          <w:marRight w:val="0"/>
                          <w:marTop w:val="0"/>
                          <w:marBottom w:val="0"/>
                          <w:divBdr>
                            <w:top w:val="none" w:sz="0" w:space="0" w:color="auto"/>
                            <w:left w:val="none" w:sz="0" w:space="0" w:color="auto"/>
                            <w:bottom w:val="none" w:sz="0" w:space="0" w:color="auto"/>
                            <w:right w:val="none" w:sz="0" w:space="0" w:color="auto"/>
                          </w:divBdr>
                          <w:divsChild>
                            <w:div w:id="120225662">
                              <w:marLeft w:val="0"/>
                              <w:marRight w:val="0"/>
                              <w:marTop w:val="0"/>
                              <w:marBottom w:val="0"/>
                              <w:divBdr>
                                <w:top w:val="none" w:sz="0" w:space="0" w:color="auto"/>
                                <w:left w:val="none" w:sz="0" w:space="0" w:color="auto"/>
                                <w:bottom w:val="none" w:sz="0" w:space="0" w:color="auto"/>
                                <w:right w:val="none" w:sz="0" w:space="0" w:color="auto"/>
                              </w:divBdr>
                              <w:divsChild>
                                <w:div w:id="1962228407">
                                  <w:marLeft w:val="0"/>
                                  <w:marRight w:val="0"/>
                                  <w:marTop w:val="0"/>
                                  <w:marBottom w:val="0"/>
                                  <w:divBdr>
                                    <w:top w:val="none" w:sz="0" w:space="0" w:color="auto"/>
                                    <w:left w:val="none" w:sz="0" w:space="0" w:color="auto"/>
                                    <w:bottom w:val="none" w:sz="0" w:space="0" w:color="auto"/>
                                    <w:right w:val="none" w:sz="0" w:space="0" w:color="auto"/>
                                  </w:divBdr>
                                  <w:divsChild>
                                    <w:div w:id="44508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339115792">
      <w:bodyDiv w:val="1"/>
      <w:marLeft w:val="0"/>
      <w:marRight w:val="0"/>
      <w:marTop w:val="0"/>
      <w:marBottom w:val="0"/>
      <w:divBdr>
        <w:top w:val="none" w:sz="0" w:space="0" w:color="auto"/>
        <w:left w:val="none" w:sz="0" w:space="0" w:color="auto"/>
        <w:bottom w:val="none" w:sz="0" w:space="0" w:color="auto"/>
        <w:right w:val="none" w:sz="0" w:space="0" w:color="auto"/>
      </w:divBdr>
      <w:divsChild>
        <w:div w:id="1497258001">
          <w:marLeft w:val="0"/>
          <w:marRight w:val="0"/>
          <w:marTop w:val="0"/>
          <w:marBottom w:val="0"/>
          <w:divBdr>
            <w:top w:val="none" w:sz="0" w:space="0" w:color="auto"/>
            <w:left w:val="none" w:sz="0" w:space="0" w:color="auto"/>
            <w:bottom w:val="none" w:sz="0" w:space="0" w:color="auto"/>
            <w:right w:val="none" w:sz="0" w:space="0" w:color="auto"/>
          </w:divBdr>
          <w:divsChild>
            <w:div w:id="2028166940">
              <w:marLeft w:val="0"/>
              <w:marRight w:val="0"/>
              <w:marTop w:val="0"/>
              <w:marBottom w:val="0"/>
              <w:divBdr>
                <w:top w:val="none" w:sz="0" w:space="0" w:color="auto"/>
                <w:left w:val="none" w:sz="0" w:space="0" w:color="auto"/>
                <w:bottom w:val="none" w:sz="0" w:space="0" w:color="auto"/>
                <w:right w:val="none" w:sz="0" w:space="0" w:color="auto"/>
              </w:divBdr>
              <w:divsChild>
                <w:div w:id="227615553">
                  <w:marLeft w:val="0"/>
                  <w:marRight w:val="0"/>
                  <w:marTop w:val="0"/>
                  <w:marBottom w:val="0"/>
                  <w:divBdr>
                    <w:top w:val="none" w:sz="0" w:space="0" w:color="auto"/>
                    <w:left w:val="none" w:sz="0" w:space="0" w:color="auto"/>
                    <w:bottom w:val="none" w:sz="0" w:space="0" w:color="auto"/>
                    <w:right w:val="none" w:sz="0" w:space="0" w:color="auto"/>
                  </w:divBdr>
                  <w:divsChild>
                    <w:div w:id="590747523">
                      <w:marLeft w:val="0"/>
                      <w:marRight w:val="0"/>
                      <w:marTop w:val="0"/>
                      <w:marBottom w:val="0"/>
                      <w:divBdr>
                        <w:top w:val="none" w:sz="0" w:space="0" w:color="auto"/>
                        <w:left w:val="none" w:sz="0" w:space="0" w:color="auto"/>
                        <w:bottom w:val="none" w:sz="0" w:space="0" w:color="auto"/>
                        <w:right w:val="none" w:sz="0" w:space="0" w:color="auto"/>
                      </w:divBdr>
                      <w:divsChild>
                        <w:div w:id="448428525">
                          <w:marLeft w:val="0"/>
                          <w:marRight w:val="0"/>
                          <w:marTop w:val="0"/>
                          <w:marBottom w:val="0"/>
                          <w:divBdr>
                            <w:top w:val="none" w:sz="0" w:space="0" w:color="auto"/>
                            <w:left w:val="none" w:sz="0" w:space="0" w:color="auto"/>
                            <w:bottom w:val="none" w:sz="0" w:space="0" w:color="auto"/>
                            <w:right w:val="none" w:sz="0" w:space="0" w:color="auto"/>
                          </w:divBdr>
                          <w:divsChild>
                            <w:div w:id="435490341">
                              <w:marLeft w:val="0"/>
                              <w:marRight w:val="0"/>
                              <w:marTop w:val="0"/>
                              <w:marBottom w:val="0"/>
                              <w:divBdr>
                                <w:top w:val="none" w:sz="0" w:space="0" w:color="auto"/>
                                <w:left w:val="none" w:sz="0" w:space="0" w:color="auto"/>
                                <w:bottom w:val="none" w:sz="0" w:space="0" w:color="auto"/>
                                <w:right w:val="none" w:sz="0" w:space="0" w:color="auto"/>
                              </w:divBdr>
                              <w:divsChild>
                                <w:div w:id="988167006">
                                  <w:marLeft w:val="0"/>
                                  <w:marRight w:val="0"/>
                                  <w:marTop w:val="0"/>
                                  <w:marBottom w:val="0"/>
                                  <w:divBdr>
                                    <w:top w:val="none" w:sz="0" w:space="0" w:color="auto"/>
                                    <w:left w:val="none" w:sz="0" w:space="0" w:color="auto"/>
                                    <w:bottom w:val="none" w:sz="0" w:space="0" w:color="auto"/>
                                    <w:right w:val="none" w:sz="0" w:space="0" w:color="auto"/>
                                  </w:divBdr>
                                  <w:divsChild>
                                    <w:div w:id="1854226015">
                                      <w:marLeft w:val="0"/>
                                      <w:marRight w:val="0"/>
                                      <w:marTop w:val="0"/>
                                      <w:marBottom w:val="0"/>
                                      <w:divBdr>
                                        <w:top w:val="none" w:sz="0" w:space="0" w:color="auto"/>
                                        <w:left w:val="none" w:sz="0" w:space="0" w:color="auto"/>
                                        <w:bottom w:val="none" w:sz="0" w:space="0" w:color="auto"/>
                                        <w:right w:val="none" w:sz="0" w:space="0" w:color="auto"/>
                                      </w:divBdr>
                                      <w:divsChild>
                                        <w:div w:id="590625649">
                                          <w:marLeft w:val="0"/>
                                          <w:marRight w:val="0"/>
                                          <w:marTop w:val="0"/>
                                          <w:marBottom w:val="0"/>
                                          <w:divBdr>
                                            <w:top w:val="none" w:sz="0" w:space="0" w:color="auto"/>
                                            <w:left w:val="none" w:sz="0" w:space="0" w:color="auto"/>
                                            <w:bottom w:val="none" w:sz="0" w:space="0" w:color="auto"/>
                                            <w:right w:val="none" w:sz="0" w:space="0" w:color="auto"/>
                                          </w:divBdr>
                                          <w:divsChild>
                                            <w:div w:id="204755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67628">
                                      <w:marLeft w:val="0"/>
                                      <w:marRight w:val="0"/>
                                      <w:marTop w:val="240"/>
                                      <w:marBottom w:val="240"/>
                                      <w:divBdr>
                                        <w:top w:val="none" w:sz="0" w:space="0" w:color="auto"/>
                                        <w:left w:val="none" w:sz="0" w:space="0" w:color="auto"/>
                                        <w:bottom w:val="none" w:sz="0" w:space="0" w:color="auto"/>
                                        <w:right w:val="none" w:sz="0" w:space="0" w:color="auto"/>
                                      </w:divBdr>
                                      <w:divsChild>
                                        <w:div w:id="771125823">
                                          <w:marLeft w:val="0"/>
                                          <w:marRight w:val="0"/>
                                          <w:marTop w:val="0"/>
                                          <w:marBottom w:val="0"/>
                                          <w:divBdr>
                                            <w:top w:val="none" w:sz="0" w:space="0" w:color="auto"/>
                                            <w:left w:val="none" w:sz="0" w:space="0" w:color="auto"/>
                                            <w:bottom w:val="none" w:sz="0" w:space="0" w:color="auto"/>
                                            <w:right w:val="none" w:sz="0" w:space="0" w:color="auto"/>
                                          </w:divBdr>
                                          <w:divsChild>
                                            <w:div w:id="1408501289">
                                              <w:marLeft w:val="0"/>
                                              <w:marRight w:val="0"/>
                                              <w:marTop w:val="0"/>
                                              <w:marBottom w:val="0"/>
                                              <w:divBdr>
                                                <w:top w:val="none" w:sz="0" w:space="0" w:color="auto"/>
                                                <w:left w:val="none" w:sz="0" w:space="0" w:color="auto"/>
                                                <w:bottom w:val="none" w:sz="0" w:space="0" w:color="auto"/>
                                                <w:right w:val="none" w:sz="0" w:space="0" w:color="auto"/>
                                              </w:divBdr>
                                            </w:div>
                                            <w:div w:id="135915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6880249">
      <w:bodyDiv w:val="1"/>
      <w:marLeft w:val="120"/>
      <w:marRight w:val="120"/>
      <w:marTop w:val="0"/>
      <w:marBottom w:val="0"/>
      <w:divBdr>
        <w:top w:val="none" w:sz="0" w:space="0" w:color="auto"/>
        <w:left w:val="none" w:sz="0" w:space="0" w:color="auto"/>
        <w:bottom w:val="none" w:sz="0" w:space="0" w:color="auto"/>
        <w:right w:val="none" w:sz="0" w:space="0" w:color="auto"/>
      </w:divBdr>
      <w:divsChild>
        <w:div w:id="1992901788">
          <w:marLeft w:val="0"/>
          <w:marRight w:val="0"/>
          <w:marTop w:val="0"/>
          <w:marBottom w:val="0"/>
          <w:divBdr>
            <w:top w:val="none" w:sz="0" w:space="0" w:color="auto"/>
            <w:left w:val="none" w:sz="0" w:space="0" w:color="auto"/>
            <w:bottom w:val="none" w:sz="0" w:space="0" w:color="auto"/>
            <w:right w:val="none" w:sz="0" w:space="0" w:color="auto"/>
          </w:divBdr>
          <w:divsChild>
            <w:div w:id="1666057499">
              <w:marLeft w:val="0"/>
              <w:marRight w:val="0"/>
              <w:marTop w:val="0"/>
              <w:marBottom w:val="0"/>
              <w:divBdr>
                <w:top w:val="none" w:sz="0" w:space="0" w:color="auto"/>
                <w:left w:val="none" w:sz="0" w:space="0" w:color="auto"/>
                <w:bottom w:val="none" w:sz="0" w:space="0" w:color="auto"/>
                <w:right w:val="none" w:sz="0" w:space="0" w:color="auto"/>
              </w:divBdr>
              <w:divsChild>
                <w:div w:id="1751347691">
                  <w:marLeft w:val="-3150"/>
                  <w:marRight w:val="0"/>
                  <w:marTop w:val="0"/>
                  <w:marBottom w:val="0"/>
                  <w:divBdr>
                    <w:top w:val="none" w:sz="0" w:space="0" w:color="auto"/>
                    <w:left w:val="none" w:sz="0" w:space="0" w:color="auto"/>
                    <w:bottom w:val="none" w:sz="0" w:space="0" w:color="auto"/>
                    <w:right w:val="none" w:sz="0" w:space="0" w:color="auto"/>
                  </w:divBdr>
                  <w:divsChild>
                    <w:div w:id="863712629">
                      <w:marLeft w:val="3150"/>
                      <w:marRight w:val="0"/>
                      <w:marTop w:val="0"/>
                      <w:marBottom w:val="0"/>
                      <w:divBdr>
                        <w:top w:val="none" w:sz="0" w:space="0" w:color="auto"/>
                        <w:left w:val="none" w:sz="0" w:space="0" w:color="auto"/>
                        <w:bottom w:val="none" w:sz="0" w:space="0" w:color="auto"/>
                        <w:right w:val="none" w:sz="0" w:space="0" w:color="auto"/>
                      </w:divBdr>
                      <w:divsChild>
                        <w:div w:id="515382639">
                          <w:marLeft w:val="0"/>
                          <w:marRight w:val="0"/>
                          <w:marTop w:val="0"/>
                          <w:marBottom w:val="0"/>
                          <w:divBdr>
                            <w:top w:val="none" w:sz="0" w:space="0" w:color="auto"/>
                            <w:left w:val="none" w:sz="0" w:space="0" w:color="auto"/>
                            <w:bottom w:val="none" w:sz="0" w:space="0" w:color="auto"/>
                            <w:right w:val="none" w:sz="0" w:space="0" w:color="auto"/>
                          </w:divBdr>
                          <w:divsChild>
                            <w:div w:id="2054958654">
                              <w:marLeft w:val="0"/>
                              <w:marRight w:val="0"/>
                              <w:marTop w:val="0"/>
                              <w:marBottom w:val="0"/>
                              <w:divBdr>
                                <w:top w:val="none" w:sz="0" w:space="0" w:color="auto"/>
                                <w:left w:val="none" w:sz="0" w:space="0" w:color="auto"/>
                                <w:bottom w:val="none" w:sz="0" w:space="0" w:color="auto"/>
                                <w:right w:val="none" w:sz="0" w:space="0" w:color="auto"/>
                              </w:divBdr>
                              <w:divsChild>
                                <w:div w:id="653143884">
                                  <w:marLeft w:val="0"/>
                                  <w:marRight w:val="0"/>
                                  <w:marTop w:val="0"/>
                                  <w:marBottom w:val="0"/>
                                  <w:divBdr>
                                    <w:top w:val="none" w:sz="0" w:space="0" w:color="auto"/>
                                    <w:left w:val="none" w:sz="0" w:space="0" w:color="auto"/>
                                    <w:bottom w:val="none" w:sz="0" w:space="0" w:color="auto"/>
                                    <w:right w:val="none" w:sz="0" w:space="0" w:color="auto"/>
                                  </w:divBdr>
                                  <w:divsChild>
                                    <w:div w:id="273443121">
                                      <w:marLeft w:val="0"/>
                                      <w:marRight w:val="0"/>
                                      <w:marTop w:val="0"/>
                                      <w:marBottom w:val="0"/>
                                      <w:divBdr>
                                        <w:top w:val="none" w:sz="0" w:space="0" w:color="auto"/>
                                        <w:left w:val="none" w:sz="0" w:space="0" w:color="auto"/>
                                        <w:bottom w:val="none" w:sz="0" w:space="0" w:color="auto"/>
                                        <w:right w:val="none" w:sz="0" w:space="0" w:color="auto"/>
                                      </w:divBdr>
                                      <w:divsChild>
                                        <w:div w:id="839854671">
                                          <w:marLeft w:val="0"/>
                                          <w:marRight w:val="0"/>
                                          <w:marTop w:val="0"/>
                                          <w:marBottom w:val="0"/>
                                          <w:divBdr>
                                            <w:top w:val="none" w:sz="0" w:space="0" w:color="auto"/>
                                            <w:left w:val="none" w:sz="0" w:space="0" w:color="auto"/>
                                            <w:bottom w:val="none" w:sz="0" w:space="0" w:color="auto"/>
                                            <w:right w:val="none" w:sz="0" w:space="0" w:color="auto"/>
                                          </w:divBdr>
                                          <w:divsChild>
                                            <w:div w:id="1752852299">
                                              <w:marLeft w:val="0"/>
                                              <w:marRight w:val="0"/>
                                              <w:marTop w:val="0"/>
                                              <w:marBottom w:val="0"/>
                                              <w:divBdr>
                                                <w:top w:val="none" w:sz="0" w:space="0" w:color="auto"/>
                                                <w:left w:val="none" w:sz="0" w:space="0" w:color="auto"/>
                                                <w:bottom w:val="none" w:sz="0" w:space="0" w:color="auto"/>
                                                <w:right w:val="none" w:sz="0" w:space="0" w:color="auto"/>
                                              </w:divBdr>
                                            </w:div>
                                            <w:div w:id="1386248269">
                                              <w:marLeft w:val="0"/>
                                              <w:marRight w:val="0"/>
                                              <w:marTop w:val="0"/>
                                              <w:marBottom w:val="0"/>
                                              <w:divBdr>
                                                <w:top w:val="none" w:sz="0" w:space="0" w:color="auto"/>
                                                <w:left w:val="none" w:sz="0" w:space="0" w:color="auto"/>
                                                <w:bottom w:val="none" w:sz="0" w:space="0" w:color="auto"/>
                                                <w:right w:val="none" w:sz="0" w:space="0" w:color="auto"/>
                                              </w:divBdr>
                                            </w:div>
                                          </w:divsChild>
                                        </w:div>
                                        <w:div w:id="7591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3707401">
      <w:bodyDiv w:val="1"/>
      <w:marLeft w:val="0"/>
      <w:marRight w:val="0"/>
      <w:marTop w:val="0"/>
      <w:marBottom w:val="0"/>
      <w:divBdr>
        <w:top w:val="none" w:sz="0" w:space="0" w:color="auto"/>
        <w:left w:val="none" w:sz="0" w:space="0" w:color="auto"/>
        <w:bottom w:val="none" w:sz="0" w:space="0" w:color="auto"/>
        <w:right w:val="none" w:sz="0" w:space="0" w:color="auto"/>
      </w:divBdr>
      <w:divsChild>
        <w:div w:id="1976400506">
          <w:marLeft w:val="0"/>
          <w:marRight w:val="0"/>
          <w:marTop w:val="0"/>
          <w:marBottom w:val="0"/>
          <w:divBdr>
            <w:top w:val="none" w:sz="0" w:space="0" w:color="auto"/>
            <w:left w:val="none" w:sz="0" w:space="0" w:color="auto"/>
            <w:bottom w:val="none" w:sz="0" w:space="0" w:color="auto"/>
            <w:right w:val="none" w:sz="0" w:space="0" w:color="auto"/>
          </w:divBdr>
          <w:divsChild>
            <w:div w:id="25259732">
              <w:marLeft w:val="0"/>
              <w:marRight w:val="0"/>
              <w:marTop w:val="0"/>
              <w:marBottom w:val="0"/>
              <w:divBdr>
                <w:top w:val="none" w:sz="0" w:space="0" w:color="auto"/>
                <w:left w:val="none" w:sz="0" w:space="0" w:color="auto"/>
                <w:bottom w:val="none" w:sz="0" w:space="0" w:color="auto"/>
                <w:right w:val="none" w:sz="0" w:space="0" w:color="auto"/>
              </w:divBdr>
            </w:div>
            <w:div w:id="1316571872">
              <w:marLeft w:val="0"/>
              <w:marRight w:val="0"/>
              <w:marTop w:val="0"/>
              <w:marBottom w:val="0"/>
              <w:divBdr>
                <w:top w:val="none" w:sz="0" w:space="0" w:color="auto"/>
                <w:left w:val="none" w:sz="0" w:space="0" w:color="auto"/>
                <w:bottom w:val="none" w:sz="0" w:space="0" w:color="auto"/>
                <w:right w:val="none" w:sz="0" w:space="0" w:color="auto"/>
              </w:divBdr>
            </w:div>
            <w:div w:id="1881236070">
              <w:marLeft w:val="0"/>
              <w:marRight w:val="0"/>
              <w:marTop w:val="0"/>
              <w:marBottom w:val="0"/>
              <w:divBdr>
                <w:top w:val="none" w:sz="0" w:space="0" w:color="auto"/>
                <w:left w:val="none" w:sz="0" w:space="0" w:color="auto"/>
                <w:bottom w:val="none" w:sz="0" w:space="0" w:color="auto"/>
                <w:right w:val="none" w:sz="0" w:space="0" w:color="auto"/>
              </w:divBdr>
            </w:div>
            <w:div w:id="20427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3408">
      <w:bodyDiv w:val="1"/>
      <w:marLeft w:val="0"/>
      <w:marRight w:val="0"/>
      <w:marTop w:val="0"/>
      <w:marBottom w:val="0"/>
      <w:divBdr>
        <w:top w:val="none" w:sz="0" w:space="0" w:color="auto"/>
        <w:left w:val="none" w:sz="0" w:space="0" w:color="auto"/>
        <w:bottom w:val="none" w:sz="0" w:space="0" w:color="auto"/>
        <w:right w:val="none" w:sz="0" w:space="0" w:color="auto"/>
      </w:divBdr>
    </w:div>
    <w:div w:id="1634360711">
      <w:bodyDiv w:val="1"/>
      <w:marLeft w:val="120"/>
      <w:marRight w:val="120"/>
      <w:marTop w:val="0"/>
      <w:marBottom w:val="0"/>
      <w:divBdr>
        <w:top w:val="none" w:sz="0" w:space="0" w:color="auto"/>
        <w:left w:val="none" w:sz="0" w:space="0" w:color="auto"/>
        <w:bottom w:val="none" w:sz="0" w:space="0" w:color="auto"/>
        <w:right w:val="none" w:sz="0" w:space="0" w:color="auto"/>
      </w:divBdr>
      <w:divsChild>
        <w:div w:id="1515414047">
          <w:marLeft w:val="0"/>
          <w:marRight w:val="0"/>
          <w:marTop w:val="0"/>
          <w:marBottom w:val="0"/>
          <w:divBdr>
            <w:top w:val="none" w:sz="0" w:space="0" w:color="auto"/>
            <w:left w:val="none" w:sz="0" w:space="0" w:color="auto"/>
            <w:bottom w:val="none" w:sz="0" w:space="0" w:color="auto"/>
            <w:right w:val="none" w:sz="0" w:space="0" w:color="auto"/>
          </w:divBdr>
          <w:divsChild>
            <w:div w:id="601962586">
              <w:marLeft w:val="0"/>
              <w:marRight w:val="0"/>
              <w:marTop w:val="0"/>
              <w:marBottom w:val="0"/>
              <w:divBdr>
                <w:top w:val="none" w:sz="0" w:space="0" w:color="auto"/>
                <w:left w:val="none" w:sz="0" w:space="0" w:color="auto"/>
                <w:bottom w:val="none" w:sz="0" w:space="0" w:color="auto"/>
                <w:right w:val="none" w:sz="0" w:space="0" w:color="auto"/>
              </w:divBdr>
              <w:divsChild>
                <w:div w:id="61372919">
                  <w:marLeft w:val="-3150"/>
                  <w:marRight w:val="0"/>
                  <w:marTop w:val="0"/>
                  <w:marBottom w:val="0"/>
                  <w:divBdr>
                    <w:top w:val="none" w:sz="0" w:space="0" w:color="auto"/>
                    <w:left w:val="none" w:sz="0" w:space="0" w:color="auto"/>
                    <w:bottom w:val="none" w:sz="0" w:space="0" w:color="auto"/>
                    <w:right w:val="none" w:sz="0" w:space="0" w:color="auto"/>
                  </w:divBdr>
                  <w:divsChild>
                    <w:div w:id="1894802652">
                      <w:marLeft w:val="3150"/>
                      <w:marRight w:val="0"/>
                      <w:marTop w:val="0"/>
                      <w:marBottom w:val="0"/>
                      <w:divBdr>
                        <w:top w:val="none" w:sz="0" w:space="0" w:color="auto"/>
                        <w:left w:val="none" w:sz="0" w:space="0" w:color="auto"/>
                        <w:bottom w:val="none" w:sz="0" w:space="0" w:color="auto"/>
                        <w:right w:val="none" w:sz="0" w:space="0" w:color="auto"/>
                      </w:divBdr>
                      <w:divsChild>
                        <w:div w:id="1546982958">
                          <w:marLeft w:val="0"/>
                          <w:marRight w:val="0"/>
                          <w:marTop w:val="0"/>
                          <w:marBottom w:val="0"/>
                          <w:divBdr>
                            <w:top w:val="none" w:sz="0" w:space="0" w:color="auto"/>
                            <w:left w:val="none" w:sz="0" w:space="0" w:color="auto"/>
                            <w:bottom w:val="none" w:sz="0" w:space="0" w:color="auto"/>
                            <w:right w:val="none" w:sz="0" w:space="0" w:color="auto"/>
                          </w:divBdr>
                          <w:divsChild>
                            <w:div w:id="114178995">
                              <w:marLeft w:val="0"/>
                              <w:marRight w:val="0"/>
                              <w:marTop w:val="0"/>
                              <w:marBottom w:val="0"/>
                              <w:divBdr>
                                <w:top w:val="none" w:sz="0" w:space="0" w:color="auto"/>
                                <w:left w:val="none" w:sz="0" w:space="0" w:color="auto"/>
                                <w:bottom w:val="none" w:sz="0" w:space="0" w:color="auto"/>
                                <w:right w:val="none" w:sz="0" w:space="0" w:color="auto"/>
                              </w:divBdr>
                              <w:divsChild>
                                <w:div w:id="920870952">
                                  <w:marLeft w:val="0"/>
                                  <w:marRight w:val="0"/>
                                  <w:marTop w:val="0"/>
                                  <w:marBottom w:val="0"/>
                                  <w:divBdr>
                                    <w:top w:val="none" w:sz="0" w:space="0" w:color="auto"/>
                                    <w:left w:val="none" w:sz="0" w:space="0" w:color="auto"/>
                                    <w:bottom w:val="none" w:sz="0" w:space="0" w:color="auto"/>
                                    <w:right w:val="none" w:sz="0" w:space="0" w:color="auto"/>
                                  </w:divBdr>
                                  <w:divsChild>
                                    <w:div w:id="1017079511">
                                      <w:marLeft w:val="0"/>
                                      <w:marRight w:val="0"/>
                                      <w:marTop w:val="0"/>
                                      <w:marBottom w:val="0"/>
                                      <w:divBdr>
                                        <w:top w:val="none" w:sz="0" w:space="0" w:color="auto"/>
                                        <w:left w:val="none" w:sz="0" w:space="0" w:color="auto"/>
                                        <w:bottom w:val="none" w:sz="0" w:space="0" w:color="auto"/>
                                        <w:right w:val="none" w:sz="0" w:space="0" w:color="auto"/>
                                      </w:divBdr>
                                    </w:div>
                                    <w:div w:id="1849249495">
                                      <w:marLeft w:val="0"/>
                                      <w:marRight w:val="0"/>
                                      <w:marTop w:val="0"/>
                                      <w:marBottom w:val="0"/>
                                      <w:divBdr>
                                        <w:top w:val="none" w:sz="0" w:space="0" w:color="auto"/>
                                        <w:left w:val="none" w:sz="0" w:space="0" w:color="auto"/>
                                        <w:bottom w:val="none" w:sz="0" w:space="0" w:color="auto"/>
                                        <w:right w:val="none" w:sz="0" w:space="0" w:color="auto"/>
                                      </w:divBdr>
                                    </w:div>
                                    <w:div w:id="100277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459296">
      <w:bodyDiv w:val="1"/>
      <w:marLeft w:val="120"/>
      <w:marRight w:val="120"/>
      <w:marTop w:val="0"/>
      <w:marBottom w:val="0"/>
      <w:divBdr>
        <w:top w:val="none" w:sz="0" w:space="0" w:color="auto"/>
        <w:left w:val="none" w:sz="0" w:space="0" w:color="auto"/>
        <w:bottom w:val="none" w:sz="0" w:space="0" w:color="auto"/>
        <w:right w:val="none" w:sz="0" w:space="0" w:color="auto"/>
      </w:divBdr>
      <w:divsChild>
        <w:div w:id="226035889">
          <w:marLeft w:val="0"/>
          <w:marRight w:val="0"/>
          <w:marTop w:val="0"/>
          <w:marBottom w:val="0"/>
          <w:divBdr>
            <w:top w:val="none" w:sz="0" w:space="0" w:color="auto"/>
            <w:left w:val="none" w:sz="0" w:space="0" w:color="auto"/>
            <w:bottom w:val="none" w:sz="0" w:space="0" w:color="auto"/>
            <w:right w:val="none" w:sz="0" w:space="0" w:color="auto"/>
          </w:divBdr>
          <w:divsChild>
            <w:div w:id="692536252">
              <w:marLeft w:val="0"/>
              <w:marRight w:val="0"/>
              <w:marTop w:val="0"/>
              <w:marBottom w:val="0"/>
              <w:divBdr>
                <w:top w:val="none" w:sz="0" w:space="0" w:color="auto"/>
                <w:left w:val="none" w:sz="0" w:space="0" w:color="auto"/>
                <w:bottom w:val="none" w:sz="0" w:space="0" w:color="auto"/>
                <w:right w:val="none" w:sz="0" w:space="0" w:color="auto"/>
              </w:divBdr>
              <w:divsChild>
                <w:div w:id="33163212">
                  <w:marLeft w:val="-3150"/>
                  <w:marRight w:val="0"/>
                  <w:marTop w:val="0"/>
                  <w:marBottom w:val="0"/>
                  <w:divBdr>
                    <w:top w:val="none" w:sz="0" w:space="0" w:color="auto"/>
                    <w:left w:val="none" w:sz="0" w:space="0" w:color="auto"/>
                    <w:bottom w:val="none" w:sz="0" w:space="0" w:color="auto"/>
                    <w:right w:val="none" w:sz="0" w:space="0" w:color="auto"/>
                  </w:divBdr>
                  <w:divsChild>
                    <w:div w:id="1022122053">
                      <w:marLeft w:val="3150"/>
                      <w:marRight w:val="0"/>
                      <w:marTop w:val="0"/>
                      <w:marBottom w:val="0"/>
                      <w:divBdr>
                        <w:top w:val="none" w:sz="0" w:space="0" w:color="auto"/>
                        <w:left w:val="none" w:sz="0" w:space="0" w:color="auto"/>
                        <w:bottom w:val="none" w:sz="0" w:space="0" w:color="auto"/>
                        <w:right w:val="none" w:sz="0" w:space="0" w:color="auto"/>
                      </w:divBdr>
                      <w:divsChild>
                        <w:div w:id="1299258354">
                          <w:marLeft w:val="0"/>
                          <w:marRight w:val="0"/>
                          <w:marTop w:val="0"/>
                          <w:marBottom w:val="0"/>
                          <w:divBdr>
                            <w:top w:val="none" w:sz="0" w:space="0" w:color="auto"/>
                            <w:left w:val="none" w:sz="0" w:space="0" w:color="auto"/>
                            <w:bottom w:val="none" w:sz="0" w:space="0" w:color="auto"/>
                            <w:right w:val="none" w:sz="0" w:space="0" w:color="auto"/>
                          </w:divBdr>
                          <w:divsChild>
                            <w:div w:id="2122144489">
                              <w:marLeft w:val="0"/>
                              <w:marRight w:val="0"/>
                              <w:marTop w:val="0"/>
                              <w:marBottom w:val="0"/>
                              <w:divBdr>
                                <w:top w:val="none" w:sz="0" w:space="0" w:color="auto"/>
                                <w:left w:val="none" w:sz="0" w:space="0" w:color="auto"/>
                                <w:bottom w:val="none" w:sz="0" w:space="0" w:color="auto"/>
                                <w:right w:val="none" w:sz="0" w:space="0" w:color="auto"/>
                              </w:divBdr>
                              <w:divsChild>
                                <w:div w:id="1520505260">
                                  <w:marLeft w:val="0"/>
                                  <w:marRight w:val="0"/>
                                  <w:marTop w:val="0"/>
                                  <w:marBottom w:val="0"/>
                                  <w:divBdr>
                                    <w:top w:val="none" w:sz="0" w:space="0" w:color="auto"/>
                                    <w:left w:val="none" w:sz="0" w:space="0" w:color="auto"/>
                                    <w:bottom w:val="none" w:sz="0" w:space="0" w:color="auto"/>
                                    <w:right w:val="none" w:sz="0" w:space="0" w:color="auto"/>
                                  </w:divBdr>
                                  <w:divsChild>
                                    <w:div w:id="1219854204">
                                      <w:marLeft w:val="0"/>
                                      <w:marRight w:val="0"/>
                                      <w:marTop w:val="0"/>
                                      <w:marBottom w:val="0"/>
                                      <w:divBdr>
                                        <w:top w:val="none" w:sz="0" w:space="0" w:color="auto"/>
                                        <w:left w:val="none" w:sz="0" w:space="0" w:color="auto"/>
                                        <w:bottom w:val="none" w:sz="0" w:space="0" w:color="auto"/>
                                        <w:right w:val="none" w:sz="0" w:space="0" w:color="auto"/>
                                      </w:divBdr>
                                    </w:div>
                                    <w:div w:id="1915698793">
                                      <w:marLeft w:val="0"/>
                                      <w:marRight w:val="0"/>
                                      <w:marTop w:val="0"/>
                                      <w:marBottom w:val="0"/>
                                      <w:divBdr>
                                        <w:top w:val="none" w:sz="0" w:space="0" w:color="auto"/>
                                        <w:left w:val="none" w:sz="0" w:space="0" w:color="auto"/>
                                        <w:bottom w:val="none" w:sz="0" w:space="0" w:color="auto"/>
                                        <w:right w:val="none" w:sz="0" w:space="0" w:color="auto"/>
                                      </w:divBdr>
                                    </w:div>
                                    <w:div w:id="249196397">
                                      <w:marLeft w:val="0"/>
                                      <w:marRight w:val="0"/>
                                      <w:marTop w:val="0"/>
                                      <w:marBottom w:val="0"/>
                                      <w:divBdr>
                                        <w:top w:val="none" w:sz="0" w:space="0" w:color="auto"/>
                                        <w:left w:val="none" w:sz="0" w:space="0" w:color="auto"/>
                                        <w:bottom w:val="none" w:sz="0" w:space="0" w:color="auto"/>
                                        <w:right w:val="none" w:sz="0" w:space="0" w:color="auto"/>
                                      </w:divBdr>
                                      <w:divsChild>
                                        <w:div w:id="1354379441">
                                          <w:marLeft w:val="0"/>
                                          <w:marRight w:val="0"/>
                                          <w:marTop w:val="0"/>
                                          <w:marBottom w:val="0"/>
                                          <w:divBdr>
                                            <w:top w:val="none" w:sz="0" w:space="0" w:color="auto"/>
                                            <w:left w:val="none" w:sz="0" w:space="0" w:color="auto"/>
                                            <w:bottom w:val="none" w:sz="0" w:space="0" w:color="auto"/>
                                            <w:right w:val="none" w:sz="0" w:space="0" w:color="auto"/>
                                          </w:divBdr>
                                          <w:divsChild>
                                            <w:div w:id="1521509113">
                                              <w:marLeft w:val="0"/>
                                              <w:marRight w:val="0"/>
                                              <w:marTop w:val="0"/>
                                              <w:marBottom w:val="0"/>
                                              <w:divBdr>
                                                <w:top w:val="none" w:sz="0" w:space="0" w:color="auto"/>
                                                <w:left w:val="none" w:sz="0" w:space="0" w:color="auto"/>
                                                <w:bottom w:val="none" w:sz="0" w:space="0" w:color="auto"/>
                                                <w:right w:val="none" w:sz="0" w:space="0" w:color="auto"/>
                                              </w:divBdr>
                                            </w:div>
                                          </w:divsChild>
                                        </w:div>
                                        <w:div w:id="2555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408423">
                          <w:marLeft w:val="0"/>
                          <w:marRight w:val="0"/>
                          <w:marTop w:val="0"/>
                          <w:marBottom w:val="0"/>
                          <w:divBdr>
                            <w:top w:val="none" w:sz="0" w:space="0" w:color="auto"/>
                            <w:left w:val="none" w:sz="0" w:space="0" w:color="auto"/>
                            <w:bottom w:val="none" w:sz="0" w:space="0" w:color="auto"/>
                            <w:right w:val="none" w:sz="0" w:space="0" w:color="auto"/>
                          </w:divBdr>
                          <w:divsChild>
                            <w:div w:id="136608015">
                              <w:marLeft w:val="0"/>
                              <w:marRight w:val="0"/>
                              <w:marTop w:val="0"/>
                              <w:marBottom w:val="0"/>
                              <w:divBdr>
                                <w:top w:val="none" w:sz="0" w:space="0" w:color="auto"/>
                                <w:left w:val="none" w:sz="0" w:space="0" w:color="auto"/>
                                <w:bottom w:val="none" w:sz="0" w:space="0" w:color="auto"/>
                                <w:right w:val="none" w:sz="0" w:space="0" w:color="auto"/>
                              </w:divBdr>
                              <w:divsChild>
                                <w:div w:id="308898453">
                                  <w:marLeft w:val="0"/>
                                  <w:marRight w:val="0"/>
                                  <w:marTop w:val="0"/>
                                  <w:marBottom w:val="0"/>
                                  <w:divBdr>
                                    <w:top w:val="none" w:sz="0" w:space="0" w:color="auto"/>
                                    <w:left w:val="none" w:sz="0" w:space="0" w:color="auto"/>
                                    <w:bottom w:val="none" w:sz="0" w:space="0" w:color="auto"/>
                                    <w:right w:val="none" w:sz="0" w:space="0" w:color="auto"/>
                                  </w:divBdr>
                                  <w:divsChild>
                                    <w:div w:id="1518451">
                                      <w:marLeft w:val="0"/>
                                      <w:marRight w:val="0"/>
                                      <w:marTop w:val="0"/>
                                      <w:marBottom w:val="0"/>
                                      <w:divBdr>
                                        <w:top w:val="none" w:sz="0" w:space="0" w:color="auto"/>
                                        <w:left w:val="none" w:sz="0" w:space="0" w:color="auto"/>
                                        <w:bottom w:val="none" w:sz="0" w:space="0" w:color="auto"/>
                                        <w:right w:val="none" w:sz="0" w:space="0" w:color="auto"/>
                                      </w:divBdr>
                                    </w:div>
                                    <w:div w:id="1867719247">
                                      <w:marLeft w:val="0"/>
                                      <w:marRight w:val="0"/>
                                      <w:marTop w:val="0"/>
                                      <w:marBottom w:val="0"/>
                                      <w:divBdr>
                                        <w:top w:val="none" w:sz="0" w:space="0" w:color="auto"/>
                                        <w:left w:val="none" w:sz="0" w:space="0" w:color="auto"/>
                                        <w:bottom w:val="none" w:sz="0" w:space="0" w:color="auto"/>
                                        <w:right w:val="none" w:sz="0" w:space="0" w:color="auto"/>
                                      </w:divBdr>
                                    </w:div>
                                    <w:div w:id="9549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36644">
      <w:bodyDiv w:val="1"/>
      <w:marLeft w:val="0"/>
      <w:marRight w:val="0"/>
      <w:marTop w:val="0"/>
      <w:marBottom w:val="0"/>
      <w:divBdr>
        <w:top w:val="none" w:sz="0" w:space="0" w:color="auto"/>
        <w:left w:val="none" w:sz="0" w:space="0" w:color="auto"/>
        <w:bottom w:val="none" w:sz="0" w:space="0" w:color="auto"/>
        <w:right w:val="none" w:sz="0" w:space="0" w:color="auto"/>
      </w:divBdr>
      <w:divsChild>
        <w:div w:id="633760068">
          <w:marLeft w:val="0"/>
          <w:marRight w:val="0"/>
          <w:marTop w:val="0"/>
          <w:marBottom w:val="0"/>
          <w:divBdr>
            <w:top w:val="none" w:sz="0" w:space="0" w:color="auto"/>
            <w:left w:val="none" w:sz="0" w:space="0" w:color="auto"/>
            <w:bottom w:val="none" w:sz="0" w:space="0" w:color="auto"/>
            <w:right w:val="none" w:sz="0" w:space="0" w:color="auto"/>
          </w:divBdr>
        </w:div>
      </w:divsChild>
    </w:div>
    <w:div w:id="207272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image" Target="media/image20.wmf"/><Relationship Id="rId50" Type="http://schemas.openxmlformats.org/officeDocument/2006/relationships/oleObject" Target="embeddings/oleObject22.bin"/><Relationship Id="rId55" Type="http://schemas.openxmlformats.org/officeDocument/2006/relationships/image" Target="media/image24.wmf"/><Relationship Id="rId63" Type="http://schemas.openxmlformats.org/officeDocument/2006/relationships/image" Target="media/image28.emf"/><Relationship Id="rId68" Type="http://schemas.openxmlformats.org/officeDocument/2006/relationships/image" Target="media/image31.wmf"/><Relationship Id="rId76" Type="http://schemas.openxmlformats.org/officeDocument/2006/relationships/image" Target="media/image36.jpeg"/><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32.bin"/><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6.bin"/><Relationship Id="rId66" Type="http://schemas.openxmlformats.org/officeDocument/2006/relationships/image" Target="media/image30.wmf"/><Relationship Id="rId74" Type="http://schemas.openxmlformats.org/officeDocument/2006/relationships/image" Target="media/image34.jpeg"/><Relationship Id="rId79" Type="http://schemas.openxmlformats.org/officeDocument/2006/relationships/image" Target="media/image39.jpeg"/><Relationship Id="rId87" Type="http://schemas.microsoft.com/office/2007/relationships/stylesWithEffects" Target="stylesWithEffects.xml"/><Relationship Id="rId5" Type="http://schemas.openxmlformats.org/officeDocument/2006/relationships/webSettings" Target="webSettings.xml"/><Relationship Id="rId61" Type="http://schemas.openxmlformats.org/officeDocument/2006/relationships/image" Target="media/image27.wmf"/><Relationship Id="rId82" Type="http://schemas.openxmlformats.org/officeDocument/2006/relationships/fontTable" Target="fontTable.xml"/><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image" Target="media/image37.jpeg"/><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image" Target="media/image33.wmf"/><Relationship Id="rId80" Type="http://schemas.openxmlformats.org/officeDocument/2006/relationships/image" Target="media/image40.jpe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image" Target="media/image26.emf"/><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2.wmf"/><Relationship Id="rId75" Type="http://schemas.openxmlformats.org/officeDocument/2006/relationships/image" Target="media/image35.jpeg"/><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8.jpeg"/><Relationship Id="rId81"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A359F"/>
    <w:rsid w:val="00B64F12"/>
    <w:rsid w:val="00EA359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359F"/>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A45B3-891C-45A9-9C66-85FDCF1C3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4522</Words>
  <Characters>25777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30239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KLisenkova</dc:creator>
  <cp:lastModifiedBy>NIESR</cp:lastModifiedBy>
  <cp:revision>3</cp:revision>
  <cp:lastPrinted>2012-08-21T10:46:00Z</cp:lastPrinted>
  <dcterms:created xsi:type="dcterms:W3CDTF">2012-09-04T09:59:00Z</dcterms:created>
  <dcterms:modified xsi:type="dcterms:W3CDTF">2012-09-04T10:22:00Z</dcterms:modified>
</cp:coreProperties>
</file>