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C0" w:rsidRPr="00E43F24" w:rsidRDefault="001204C0" w:rsidP="001204C0">
      <w:pPr>
        <w:autoSpaceDE w:val="0"/>
        <w:autoSpaceDN w:val="0"/>
        <w:adjustRightInd w:val="0"/>
        <w:spacing w:line="240" w:lineRule="auto"/>
        <w:jc w:val="center"/>
        <w:rPr>
          <w:rFonts w:ascii="Kudriashov-Bold" w:hAnsi="Kudriashov-Bold" w:cs="Kudriashov-Bold"/>
          <w:b/>
          <w:bCs/>
          <w:sz w:val="32"/>
          <w:szCs w:val="24"/>
          <w:lang w:val="en-US"/>
        </w:rPr>
      </w:pPr>
      <w:r w:rsidRPr="00E43F24">
        <w:rPr>
          <w:rFonts w:ascii="Kudriashov-Bold" w:hAnsi="Kudriashov-Bold" w:cs="Kudriashov-Bold"/>
          <w:b/>
          <w:bCs/>
          <w:sz w:val="32"/>
          <w:szCs w:val="24"/>
          <w:lang w:val="en-US"/>
        </w:rPr>
        <w:t xml:space="preserve">Potential Effects of </w:t>
      </w:r>
      <w:r>
        <w:rPr>
          <w:rFonts w:ascii="Kudriashov-Bold" w:hAnsi="Kudriashov-Bold" w:cs="Kudriashov-Bold"/>
          <w:b/>
          <w:bCs/>
          <w:sz w:val="32"/>
          <w:szCs w:val="24"/>
          <w:lang w:val="en-US"/>
        </w:rPr>
        <w:t xml:space="preserve">the </w:t>
      </w:r>
      <w:r w:rsidRPr="00E43F24">
        <w:rPr>
          <w:rFonts w:ascii="Kudriashov-Bold" w:hAnsi="Kudriashov-Bold" w:cs="Kudriashov-Bold"/>
          <w:b/>
          <w:bCs/>
          <w:sz w:val="32"/>
          <w:szCs w:val="24"/>
          <w:lang w:val="en-US"/>
        </w:rPr>
        <w:t>CU—EU Free Trade Agreement</w:t>
      </w:r>
    </w:p>
    <w:p w:rsidR="001204C0" w:rsidRDefault="001204C0" w:rsidP="001204C0">
      <w:pPr>
        <w:autoSpaceDE w:val="0"/>
        <w:autoSpaceDN w:val="0"/>
        <w:adjustRightInd w:val="0"/>
        <w:spacing w:line="276" w:lineRule="auto"/>
        <w:rPr>
          <w:rFonts w:ascii="Kudriashov-Italic" w:hAnsi="Kudriashov-Italic" w:cs="Kudriashov-Italic"/>
          <w:i/>
          <w:iCs/>
          <w:sz w:val="18"/>
          <w:szCs w:val="18"/>
          <w:lang w:val="en-US"/>
        </w:rPr>
      </w:pPr>
    </w:p>
    <w:p w:rsidR="001204C0" w:rsidRDefault="001204C0" w:rsidP="001204C0">
      <w:pPr>
        <w:autoSpaceDE w:val="0"/>
        <w:autoSpaceDN w:val="0"/>
        <w:adjustRightInd w:val="0"/>
        <w:spacing w:line="240" w:lineRule="auto"/>
        <w:jc w:val="center"/>
        <w:rPr>
          <w:rFonts w:ascii="Kudriashov" w:hAnsi="Kudriashov" w:cs="Kudriashov"/>
          <w:sz w:val="13"/>
          <w:szCs w:val="13"/>
          <w:lang w:val="en-US"/>
        </w:rPr>
      </w:pPr>
      <w:r>
        <w:rPr>
          <w:rFonts w:ascii="Kudriashov-Italic" w:hAnsi="Kudriashov-Italic" w:cs="Kudriashov-Italic"/>
          <w:i/>
          <w:iCs/>
          <w:lang w:val="en-US"/>
        </w:rPr>
        <w:t xml:space="preserve">Bekhan Chokaev  </w:t>
      </w:r>
      <w:r>
        <w:rPr>
          <w:rFonts w:ascii="Kudriashov" w:hAnsi="Kudriashov" w:cs="Kudriashov"/>
          <w:sz w:val="13"/>
          <w:szCs w:val="13"/>
          <w:lang w:val="en-US"/>
        </w:rPr>
        <w:t xml:space="preserve"> </w:t>
      </w:r>
    </w:p>
    <w:p w:rsidR="001204C0" w:rsidRDefault="001204C0" w:rsidP="001204C0">
      <w:pPr>
        <w:autoSpaceDE w:val="0"/>
        <w:autoSpaceDN w:val="0"/>
        <w:adjustRightInd w:val="0"/>
        <w:spacing w:line="240" w:lineRule="auto"/>
        <w:jc w:val="center"/>
        <w:rPr>
          <w:rFonts w:ascii="Kudriashov" w:hAnsi="Kudriashov" w:cs="Kudriashov"/>
          <w:sz w:val="18"/>
          <w:szCs w:val="18"/>
          <w:lang w:val="en-US"/>
        </w:rPr>
      </w:pPr>
      <w:r w:rsidRPr="00422B40">
        <w:rPr>
          <w:rFonts w:ascii="Kudriashov" w:hAnsi="Kudriashov" w:cs="Kudriashov"/>
          <w:sz w:val="18"/>
          <w:szCs w:val="18"/>
          <w:lang w:val="en-US"/>
        </w:rPr>
        <w:t xml:space="preserve">Russian Presidential Academy of National Economy </w:t>
      </w:r>
    </w:p>
    <w:p w:rsidR="001204C0" w:rsidRDefault="001204C0" w:rsidP="001204C0">
      <w:pPr>
        <w:autoSpaceDE w:val="0"/>
        <w:autoSpaceDN w:val="0"/>
        <w:adjustRightInd w:val="0"/>
        <w:spacing w:line="240" w:lineRule="auto"/>
        <w:jc w:val="center"/>
        <w:rPr>
          <w:rFonts w:ascii="Kudriashov" w:hAnsi="Kudriashov" w:cs="Kudriashov"/>
          <w:sz w:val="18"/>
          <w:szCs w:val="18"/>
          <w:lang w:val="en-US"/>
        </w:rPr>
      </w:pPr>
      <w:proofErr w:type="gramStart"/>
      <w:r w:rsidRPr="00422B40">
        <w:rPr>
          <w:rFonts w:ascii="Kudriashov" w:hAnsi="Kudriashov" w:cs="Kudriashov"/>
          <w:sz w:val="18"/>
          <w:szCs w:val="18"/>
          <w:lang w:val="en-US"/>
        </w:rPr>
        <w:t>and</w:t>
      </w:r>
      <w:proofErr w:type="gramEnd"/>
      <w:r w:rsidRPr="00422B40">
        <w:rPr>
          <w:rFonts w:ascii="Kudriashov" w:hAnsi="Kudriashov" w:cs="Kudriashov"/>
          <w:sz w:val="18"/>
          <w:szCs w:val="18"/>
          <w:lang w:val="en-US"/>
        </w:rPr>
        <w:t xml:space="preserve"> Public Administration</w:t>
      </w:r>
      <w:r>
        <w:rPr>
          <w:rFonts w:ascii="Kudriashov" w:hAnsi="Kudriashov" w:cs="Kudriashov"/>
          <w:sz w:val="18"/>
          <w:szCs w:val="18"/>
          <w:lang w:val="en-US"/>
        </w:rPr>
        <w:t xml:space="preserve"> </w:t>
      </w:r>
    </w:p>
    <w:p w:rsidR="001204C0" w:rsidRDefault="001204C0" w:rsidP="001204C0">
      <w:pPr>
        <w:autoSpaceDE w:val="0"/>
        <w:autoSpaceDN w:val="0"/>
        <w:adjustRightInd w:val="0"/>
        <w:spacing w:line="240" w:lineRule="auto"/>
        <w:jc w:val="center"/>
        <w:rPr>
          <w:rFonts w:ascii="Kudriashov" w:hAnsi="Kudriashov" w:cs="Kudriashov"/>
          <w:sz w:val="13"/>
          <w:szCs w:val="13"/>
          <w:lang w:val="en-US"/>
        </w:rPr>
      </w:pPr>
      <w:r>
        <w:rPr>
          <w:rFonts w:ascii="Kudriashov" w:hAnsi="Kudriashov" w:cs="Kudriashov"/>
          <w:sz w:val="18"/>
          <w:szCs w:val="18"/>
          <w:lang w:val="en-US"/>
        </w:rPr>
        <w:t>Moscow, Russia</w:t>
      </w:r>
    </w:p>
    <w:p w:rsidR="001204C0" w:rsidRDefault="001204C0" w:rsidP="001204C0">
      <w:pPr>
        <w:autoSpaceDE w:val="0"/>
        <w:autoSpaceDN w:val="0"/>
        <w:adjustRightInd w:val="0"/>
        <w:spacing w:line="240" w:lineRule="auto"/>
        <w:jc w:val="center"/>
        <w:rPr>
          <w:rFonts w:ascii="Kudriashov" w:hAnsi="Kudriashov" w:cs="Kudriashov"/>
          <w:sz w:val="13"/>
          <w:szCs w:val="13"/>
          <w:lang w:val="en-US"/>
        </w:rPr>
      </w:pPr>
    </w:p>
    <w:p w:rsidR="001204C0" w:rsidRDefault="001204C0" w:rsidP="001204C0">
      <w:pPr>
        <w:autoSpaceDE w:val="0"/>
        <w:autoSpaceDN w:val="0"/>
        <w:adjustRightInd w:val="0"/>
        <w:spacing w:line="240" w:lineRule="auto"/>
        <w:jc w:val="center"/>
        <w:rPr>
          <w:rFonts w:ascii="Kudriashov" w:hAnsi="Kudriashov" w:cs="Kudriashov"/>
          <w:sz w:val="13"/>
          <w:szCs w:val="13"/>
          <w:lang w:val="en-US"/>
        </w:rPr>
      </w:pPr>
    </w:p>
    <w:p w:rsidR="001204C0" w:rsidRDefault="001204C0" w:rsidP="001204C0">
      <w:pPr>
        <w:autoSpaceDE w:val="0"/>
        <w:autoSpaceDN w:val="0"/>
        <w:adjustRightInd w:val="0"/>
        <w:spacing w:line="240" w:lineRule="auto"/>
        <w:jc w:val="center"/>
        <w:rPr>
          <w:rFonts w:ascii="Kudriashov-Italic" w:hAnsi="Kudriashov-Italic" w:cs="Kudriashov-Italic"/>
          <w:i/>
          <w:iCs/>
          <w:lang w:val="en-US"/>
        </w:rPr>
      </w:pPr>
      <w:r>
        <w:rPr>
          <w:rFonts w:ascii="Kudriashov-Italic" w:hAnsi="Kudriashov-Italic" w:cs="Kudriashov-Italic"/>
          <w:i/>
          <w:iCs/>
          <w:lang w:val="en-US"/>
        </w:rPr>
        <w:t>Alexander Knobel</w:t>
      </w:r>
    </w:p>
    <w:p w:rsidR="001204C0" w:rsidRDefault="001204C0" w:rsidP="001204C0">
      <w:pPr>
        <w:autoSpaceDE w:val="0"/>
        <w:autoSpaceDN w:val="0"/>
        <w:adjustRightInd w:val="0"/>
        <w:spacing w:line="240" w:lineRule="auto"/>
        <w:jc w:val="center"/>
        <w:rPr>
          <w:rFonts w:ascii="Kudriashov" w:hAnsi="Kudriashov" w:cs="Kudriashov"/>
          <w:sz w:val="18"/>
          <w:szCs w:val="18"/>
          <w:lang w:val="en-US"/>
        </w:rPr>
      </w:pPr>
      <w:r w:rsidRPr="00422B40">
        <w:rPr>
          <w:rFonts w:ascii="Kudriashov" w:hAnsi="Kudriashov" w:cs="Kudriashov"/>
          <w:sz w:val="18"/>
          <w:szCs w:val="18"/>
          <w:lang w:val="en-US"/>
        </w:rPr>
        <w:t xml:space="preserve">Russian Presidential Academy of National Economy </w:t>
      </w:r>
    </w:p>
    <w:p w:rsidR="001204C0" w:rsidRDefault="001204C0" w:rsidP="001204C0">
      <w:pPr>
        <w:autoSpaceDE w:val="0"/>
        <w:autoSpaceDN w:val="0"/>
        <w:adjustRightInd w:val="0"/>
        <w:spacing w:line="240" w:lineRule="auto"/>
        <w:jc w:val="center"/>
        <w:rPr>
          <w:rFonts w:ascii="Kudriashov-Italic" w:hAnsi="Kudriashov-Italic" w:cs="Kudriashov-Italic"/>
          <w:i/>
          <w:iCs/>
          <w:lang w:val="en-US"/>
        </w:rPr>
      </w:pPr>
      <w:proofErr w:type="gramStart"/>
      <w:r w:rsidRPr="00422B40">
        <w:rPr>
          <w:rFonts w:ascii="Kudriashov" w:hAnsi="Kudriashov" w:cs="Kudriashov"/>
          <w:sz w:val="18"/>
          <w:szCs w:val="18"/>
          <w:lang w:val="en-US"/>
        </w:rPr>
        <w:t>and</w:t>
      </w:r>
      <w:proofErr w:type="gramEnd"/>
      <w:r w:rsidRPr="00422B40">
        <w:rPr>
          <w:rFonts w:ascii="Kudriashov" w:hAnsi="Kudriashov" w:cs="Kudriashov"/>
          <w:sz w:val="18"/>
          <w:szCs w:val="18"/>
          <w:lang w:val="en-US"/>
        </w:rPr>
        <w:t xml:space="preserve"> Public Administration</w:t>
      </w:r>
      <w:r>
        <w:rPr>
          <w:rFonts w:ascii="Kudriashov" w:hAnsi="Kudriashov" w:cs="Kudriashov"/>
          <w:sz w:val="18"/>
          <w:szCs w:val="18"/>
          <w:lang w:val="en-US"/>
        </w:rPr>
        <w:t>,</w:t>
      </w:r>
    </w:p>
    <w:p w:rsidR="001204C0" w:rsidRDefault="001204C0" w:rsidP="001204C0">
      <w:pPr>
        <w:autoSpaceDE w:val="0"/>
        <w:autoSpaceDN w:val="0"/>
        <w:adjustRightInd w:val="0"/>
        <w:spacing w:line="240" w:lineRule="auto"/>
        <w:jc w:val="center"/>
        <w:rPr>
          <w:rFonts w:ascii="Kudriashov" w:hAnsi="Kudriashov" w:cs="Kudriashov"/>
          <w:sz w:val="18"/>
          <w:szCs w:val="18"/>
          <w:lang w:val="en-US"/>
        </w:rPr>
      </w:pPr>
      <w:r w:rsidRPr="00422B40">
        <w:rPr>
          <w:rFonts w:ascii="Kudriashov" w:hAnsi="Kudriashov" w:cs="Kudriashov"/>
          <w:sz w:val="18"/>
          <w:szCs w:val="18"/>
          <w:lang w:val="en-US"/>
        </w:rPr>
        <w:t>Gaidar Institute for E</w:t>
      </w:r>
      <w:r>
        <w:rPr>
          <w:rFonts w:ascii="Kudriashov" w:hAnsi="Kudriashov" w:cs="Kudriashov"/>
          <w:sz w:val="18"/>
          <w:szCs w:val="18"/>
          <w:lang w:val="en-US"/>
        </w:rPr>
        <w:t xml:space="preserve">conomic Policy </w:t>
      </w:r>
    </w:p>
    <w:p w:rsidR="001204C0" w:rsidRPr="00422B40" w:rsidRDefault="001204C0" w:rsidP="001204C0">
      <w:pPr>
        <w:autoSpaceDE w:val="0"/>
        <w:autoSpaceDN w:val="0"/>
        <w:adjustRightInd w:val="0"/>
        <w:spacing w:line="240" w:lineRule="auto"/>
        <w:jc w:val="center"/>
        <w:rPr>
          <w:b/>
          <w:i/>
          <w:iCs/>
          <w:sz w:val="24"/>
          <w:szCs w:val="18"/>
          <w:lang w:val="en-US"/>
        </w:rPr>
      </w:pPr>
      <w:r>
        <w:rPr>
          <w:rFonts w:ascii="Kudriashov" w:hAnsi="Kudriashov" w:cs="Kudriashov"/>
          <w:sz w:val="18"/>
          <w:szCs w:val="18"/>
          <w:lang w:val="en-US"/>
        </w:rPr>
        <w:t>Moscow, Russia</w:t>
      </w:r>
    </w:p>
    <w:p w:rsidR="001204C0" w:rsidRDefault="001204C0" w:rsidP="001204C0">
      <w:pPr>
        <w:autoSpaceDE w:val="0"/>
        <w:autoSpaceDN w:val="0"/>
        <w:adjustRightInd w:val="0"/>
        <w:spacing w:line="276" w:lineRule="auto"/>
        <w:rPr>
          <w:b/>
          <w:i/>
          <w:iCs/>
          <w:sz w:val="24"/>
          <w:szCs w:val="18"/>
          <w:lang w:val="en-US"/>
        </w:rPr>
      </w:pPr>
    </w:p>
    <w:p w:rsidR="001204C0" w:rsidRPr="00760280" w:rsidRDefault="001204C0" w:rsidP="001204C0">
      <w:pPr>
        <w:autoSpaceDE w:val="0"/>
        <w:autoSpaceDN w:val="0"/>
        <w:adjustRightInd w:val="0"/>
        <w:spacing w:line="276" w:lineRule="auto"/>
        <w:rPr>
          <w:rFonts w:ascii="Kudriashov" w:hAnsi="Kudriashov" w:cs="Kudriashov"/>
          <w:sz w:val="24"/>
          <w:lang w:val="en-US"/>
        </w:rPr>
      </w:pPr>
      <w:r w:rsidRPr="00760280">
        <w:rPr>
          <w:b/>
          <w:i/>
          <w:iCs/>
          <w:sz w:val="24"/>
          <w:szCs w:val="18"/>
          <w:lang w:val="en-US"/>
        </w:rPr>
        <w:t xml:space="preserve">Abstract. </w:t>
      </w:r>
      <w:r w:rsidRPr="00760280">
        <w:rPr>
          <w:rFonts w:ascii="Kudriashov" w:hAnsi="Kudriashov" w:cs="Kudriashov"/>
          <w:sz w:val="24"/>
          <w:lang w:val="en-US"/>
        </w:rPr>
        <w:t>This paper investigates the possible economic effects of free trade agreement, i</w:t>
      </w:r>
      <w:r w:rsidRPr="00760280">
        <w:rPr>
          <w:rFonts w:ascii="Kudriashov" w:hAnsi="Kudriashov" w:cs="Kudriashov"/>
          <w:sz w:val="24"/>
          <w:lang w:val="en-US"/>
        </w:rPr>
        <w:t>m</w:t>
      </w:r>
      <w:r w:rsidRPr="00760280">
        <w:rPr>
          <w:rFonts w:ascii="Kudriashov" w:hAnsi="Kudriashov" w:cs="Kudriashov"/>
          <w:sz w:val="24"/>
          <w:lang w:val="en-US"/>
        </w:rPr>
        <w:t xml:space="preserve">plying a mutual zero </w:t>
      </w:r>
      <w:r w:rsidR="00FB0DCE">
        <w:rPr>
          <w:rFonts w:ascii="Kudriashov" w:hAnsi="Kudriashov" w:cs="Kudriashov"/>
          <w:sz w:val="24"/>
          <w:lang w:val="en-US"/>
        </w:rPr>
        <w:t>imports</w:t>
      </w:r>
      <w:r w:rsidRPr="00760280">
        <w:rPr>
          <w:rFonts w:ascii="Kudriashov" w:hAnsi="Kudriashov" w:cs="Kudriashov"/>
          <w:sz w:val="24"/>
          <w:lang w:val="en-US"/>
        </w:rPr>
        <w:t xml:space="preserve"> tariffs in the trade between the Customs </w:t>
      </w:r>
      <w:proofErr w:type="gramStart"/>
      <w:r w:rsidRPr="00760280">
        <w:rPr>
          <w:rFonts w:ascii="Kudriashov" w:hAnsi="Kudriashov" w:cs="Kudriashov"/>
          <w:sz w:val="24"/>
          <w:lang w:val="en-US"/>
        </w:rPr>
        <w:t>Union</w:t>
      </w:r>
      <w:r>
        <w:rPr>
          <w:rFonts w:ascii="Kudriashov" w:hAnsi="Kudriashov" w:cs="Kudriashov"/>
          <w:sz w:val="24"/>
          <w:lang w:val="en-US"/>
        </w:rPr>
        <w:t xml:space="preserve"> </w:t>
      </w:r>
      <w:r w:rsidRPr="00760280">
        <w:rPr>
          <w:rFonts w:ascii="Kudriashov" w:hAnsi="Kudriashov" w:cs="Kudriashov"/>
          <w:sz w:val="24"/>
          <w:lang w:val="en-US"/>
        </w:rPr>
        <w:t xml:space="preserve"> </w:t>
      </w:r>
      <w:r w:rsidRPr="007B75E1">
        <w:rPr>
          <w:rFonts w:ascii="Kudriashov" w:hAnsi="Kudriashov" w:cs="Kudriashov"/>
          <w:sz w:val="24"/>
          <w:lang w:val="en-US"/>
        </w:rPr>
        <w:t>(</w:t>
      </w:r>
      <w:proofErr w:type="gramEnd"/>
      <w:r w:rsidRPr="007B75E1">
        <w:rPr>
          <w:rFonts w:ascii="Kudriashov" w:hAnsi="Kudriashov" w:cs="Kudriashov"/>
          <w:sz w:val="24"/>
          <w:lang w:val="en-US"/>
        </w:rPr>
        <w:t>Russia, Belarus, K</w:t>
      </w:r>
      <w:r w:rsidRPr="007B75E1">
        <w:rPr>
          <w:rFonts w:ascii="Kudriashov" w:hAnsi="Kudriashov" w:cs="Kudriashov"/>
          <w:sz w:val="24"/>
          <w:lang w:val="en-US"/>
        </w:rPr>
        <w:t>a</w:t>
      </w:r>
      <w:r w:rsidRPr="007B75E1">
        <w:rPr>
          <w:rFonts w:ascii="Kudriashov" w:hAnsi="Kudriashov" w:cs="Kudriashov"/>
          <w:sz w:val="24"/>
          <w:lang w:val="en-US"/>
        </w:rPr>
        <w:t>zakhstan) and the European Union</w:t>
      </w:r>
      <w:r w:rsidRPr="00760280">
        <w:rPr>
          <w:rFonts w:ascii="Kudriashov" w:hAnsi="Kudriashov" w:cs="Kudriashov"/>
          <w:sz w:val="24"/>
          <w:lang w:val="en-US"/>
        </w:rPr>
        <w:t xml:space="preserve">. Analysis of the effects is made using </w:t>
      </w:r>
      <w:r>
        <w:rPr>
          <w:rFonts w:ascii="Kudriashov" w:hAnsi="Kudriashov" w:cs="Kudriashov"/>
          <w:sz w:val="24"/>
          <w:lang w:val="en-US"/>
        </w:rPr>
        <w:t xml:space="preserve">a </w:t>
      </w:r>
      <w:r w:rsidRPr="00E43F24">
        <w:rPr>
          <w:szCs w:val="26"/>
          <w:lang w:val="en-US"/>
        </w:rPr>
        <w:t xml:space="preserve">computational general </w:t>
      </w:r>
      <w:proofErr w:type="gramStart"/>
      <w:r w:rsidRPr="00E43F24">
        <w:rPr>
          <w:szCs w:val="26"/>
          <w:lang w:val="en-US"/>
        </w:rPr>
        <w:t>equilibrium</w:t>
      </w:r>
      <w:proofErr w:type="gramEnd"/>
      <w:r w:rsidRPr="00E43F24">
        <w:rPr>
          <w:szCs w:val="26"/>
          <w:lang w:val="en-US"/>
        </w:rPr>
        <w:t xml:space="preserve"> </w:t>
      </w:r>
      <w:r w:rsidRPr="00760280">
        <w:rPr>
          <w:rFonts w:ascii="Kudriashov" w:hAnsi="Kudriashov" w:cs="Kudriashov"/>
          <w:sz w:val="24"/>
          <w:lang w:val="en-US"/>
        </w:rPr>
        <w:t>model. We estimate the impact of an FTA on the economies, both at the level of the entire economy and at the industry level. The sensitivity analysis is made. It is shown that, in both relative and absolute terms, Russia potentially benefits from the agreement more than the EU. The cumulative gain of the CU is strictly positive, but the benefits and costs are unevenly distributed among its members.</w:t>
      </w:r>
    </w:p>
    <w:p w:rsidR="001204C0" w:rsidRDefault="001204C0" w:rsidP="001204C0">
      <w:pPr>
        <w:autoSpaceDE w:val="0"/>
        <w:autoSpaceDN w:val="0"/>
        <w:adjustRightInd w:val="0"/>
        <w:spacing w:line="240" w:lineRule="auto"/>
        <w:rPr>
          <w:rFonts w:ascii="Kudriashov-Italic" w:hAnsi="Kudriashov-Italic" w:cs="Kudriashov-Italic"/>
          <w:i/>
          <w:iCs/>
          <w:sz w:val="20"/>
          <w:lang w:val="en-US"/>
        </w:rPr>
      </w:pPr>
    </w:p>
    <w:p w:rsidR="001204C0" w:rsidRPr="00760280" w:rsidRDefault="001204C0" w:rsidP="001204C0">
      <w:pPr>
        <w:autoSpaceDE w:val="0"/>
        <w:autoSpaceDN w:val="0"/>
        <w:adjustRightInd w:val="0"/>
        <w:spacing w:line="240" w:lineRule="auto"/>
        <w:rPr>
          <w:rFonts w:ascii="Kudriashov" w:hAnsi="Kudriashov" w:cs="Kudriashov"/>
          <w:sz w:val="20"/>
          <w:lang w:val="en-US"/>
        </w:rPr>
      </w:pPr>
      <w:r w:rsidRPr="00760280">
        <w:rPr>
          <w:rFonts w:ascii="Kudriashov-Italic" w:hAnsi="Kudriashov-Italic" w:cs="Kudriashov-Italic"/>
          <w:i/>
          <w:iCs/>
          <w:sz w:val="20"/>
          <w:lang w:val="en-US"/>
        </w:rPr>
        <w:t xml:space="preserve">Keywords: </w:t>
      </w:r>
      <w:r w:rsidRPr="00760280">
        <w:rPr>
          <w:rFonts w:ascii="Kudriashov" w:hAnsi="Kudriashov" w:cs="Kudriashov"/>
          <w:sz w:val="20"/>
          <w:lang w:val="en-US"/>
        </w:rPr>
        <w:t>Customs Union, European Union, free trade agreement, CGE.</w:t>
      </w:r>
    </w:p>
    <w:p w:rsidR="001204C0" w:rsidRPr="00EE3ED2" w:rsidRDefault="001204C0" w:rsidP="001204C0">
      <w:pPr>
        <w:rPr>
          <w:rFonts w:ascii="Kudriashov" w:hAnsi="Kudriashov" w:cs="Kudriashov"/>
          <w:sz w:val="20"/>
        </w:rPr>
      </w:pPr>
      <w:r w:rsidRPr="00760280">
        <w:rPr>
          <w:rFonts w:ascii="Kudriashov-Italic" w:hAnsi="Kudriashov-Italic" w:cs="Kudriashov-Italic"/>
          <w:i/>
          <w:iCs/>
          <w:sz w:val="20"/>
          <w:lang w:val="en-US"/>
        </w:rPr>
        <w:t>JEL</w:t>
      </w:r>
      <w:r w:rsidRPr="00EE3ED2">
        <w:rPr>
          <w:rFonts w:ascii="Kudriashov-Italic" w:hAnsi="Kudriashov-Italic" w:cs="Kudriashov-Italic"/>
          <w:i/>
          <w:iCs/>
          <w:sz w:val="20"/>
        </w:rPr>
        <w:t xml:space="preserve">: </w:t>
      </w:r>
      <w:r w:rsidRPr="00760280">
        <w:rPr>
          <w:rFonts w:ascii="Kudriashov" w:hAnsi="Kudriashov" w:cs="Kudriashov"/>
          <w:sz w:val="20"/>
          <w:lang w:val="en-US"/>
        </w:rPr>
        <w:t>C</w:t>
      </w:r>
      <w:r w:rsidRPr="00EE3ED2">
        <w:rPr>
          <w:rFonts w:ascii="Kudriashov" w:hAnsi="Kudriashov" w:cs="Kudriashov"/>
          <w:sz w:val="20"/>
        </w:rPr>
        <w:t xml:space="preserve">68, </w:t>
      </w:r>
      <w:r w:rsidRPr="00760280">
        <w:rPr>
          <w:rFonts w:ascii="Kudriashov" w:hAnsi="Kudriashov" w:cs="Kudriashov"/>
          <w:sz w:val="20"/>
          <w:lang w:val="en-US"/>
        </w:rPr>
        <w:t>F</w:t>
      </w:r>
      <w:r w:rsidRPr="00EE3ED2">
        <w:rPr>
          <w:rFonts w:ascii="Kudriashov" w:hAnsi="Kudriashov" w:cs="Kudriashov"/>
          <w:sz w:val="20"/>
        </w:rPr>
        <w:t xml:space="preserve">15, </w:t>
      </w:r>
      <w:r w:rsidRPr="00760280">
        <w:rPr>
          <w:rFonts w:ascii="Kudriashov" w:hAnsi="Kudriashov" w:cs="Kudriashov"/>
          <w:sz w:val="20"/>
          <w:lang w:val="en-US"/>
        </w:rPr>
        <w:t>F</w:t>
      </w:r>
      <w:r w:rsidRPr="00EE3ED2">
        <w:rPr>
          <w:rFonts w:ascii="Kudriashov" w:hAnsi="Kudriashov" w:cs="Kudriashov"/>
          <w:sz w:val="20"/>
        </w:rPr>
        <w:t>17.</w:t>
      </w:r>
    </w:p>
    <w:p w:rsidR="003559EB" w:rsidRDefault="003559EB">
      <w:pPr>
        <w:spacing w:line="240" w:lineRule="auto"/>
        <w:ind w:firstLine="0"/>
        <w:jc w:val="left"/>
        <w:rPr>
          <w:rStyle w:val="hps"/>
          <w:b/>
          <w:bCs/>
          <w:kern w:val="32"/>
          <w:sz w:val="30"/>
          <w:szCs w:val="30"/>
        </w:rPr>
      </w:pPr>
      <w:r>
        <w:rPr>
          <w:rStyle w:val="hps"/>
        </w:rPr>
        <w:br w:type="page"/>
      </w:r>
    </w:p>
    <w:p w:rsidR="002064E9" w:rsidRPr="002064E9" w:rsidRDefault="002064E9" w:rsidP="002064E9">
      <w:pPr>
        <w:keepNext/>
        <w:spacing w:before="240" w:after="240" w:line="240" w:lineRule="auto"/>
        <w:ind w:firstLine="0"/>
        <w:outlineLvl w:val="0"/>
        <w:rPr>
          <w:b/>
          <w:bCs/>
          <w:kern w:val="32"/>
          <w:sz w:val="30"/>
          <w:szCs w:val="30"/>
          <w:lang w:val="en-US"/>
        </w:rPr>
      </w:pPr>
      <w:r w:rsidRPr="002064E9">
        <w:rPr>
          <w:b/>
          <w:bCs/>
          <w:kern w:val="32"/>
          <w:sz w:val="30"/>
          <w:szCs w:val="30"/>
          <w:lang w:val="en-US"/>
        </w:rPr>
        <w:lastRenderedPageBreak/>
        <w:t>Introduction</w:t>
      </w:r>
    </w:p>
    <w:p w:rsidR="002064E9" w:rsidRPr="002064E9" w:rsidRDefault="002064E9" w:rsidP="002064E9">
      <w:pPr>
        <w:ind w:firstLine="709"/>
        <w:rPr>
          <w:szCs w:val="26"/>
          <w:lang w:val="en-US"/>
        </w:rPr>
      </w:pPr>
      <w:r w:rsidRPr="002064E9">
        <w:rPr>
          <w:szCs w:val="26"/>
          <w:lang w:val="en-US"/>
        </w:rPr>
        <w:t>In May 2005, at the Russia–EU summit, the Common Economic Space "road map" was accepted which main objective declared "creation of the opened and integrated market between Russia and EU". When Mr. Putin was Russian Prime Minister, in 2010 it declared need to create harmonious economic community from Lisbon to Vladivostok, in prospect promoting creation Eurasian "free trade area and even more advanced forms of economic integration". Quite recently, in January, 2015, at the Russia–EU summit the Russian repr</w:t>
      </w:r>
      <w:r w:rsidRPr="002064E9">
        <w:rPr>
          <w:szCs w:val="26"/>
          <w:lang w:val="en-US"/>
        </w:rPr>
        <w:t>e</w:t>
      </w:r>
      <w:r w:rsidRPr="002064E9">
        <w:rPr>
          <w:szCs w:val="26"/>
          <w:lang w:val="en-US"/>
        </w:rPr>
        <w:t>sentatives "suggested EU leaders to study possibility of formation of a free trade area b</w:t>
      </w:r>
      <w:r w:rsidRPr="002064E9">
        <w:rPr>
          <w:szCs w:val="26"/>
          <w:lang w:val="en-US"/>
        </w:rPr>
        <w:t>e</w:t>
      </w:r>
      <w:r w:rsidRPr="002064E9">
        <w:rPr>
          <w:szCs w:val="26"/>
          <w:lang w:val="en-US"/>
        </w:rPr>
        <w:t>tween EU and the Eurasian economic union created by Russia, Belarus and Kazakhstan".</w:t>
      </w:r>
    </w:p>
    <w:p w:rsidR="002064E9" w:rsidRPr="002064E9" w:rsidRDefault="002064E9" w:rsidP="002064E9">
      <w:pPr>
        <w:ind w:firstLine="709"/>
        <w:rPr>
          <w:szCs w:val="26"/>
          <w:lang w:val="en-US"/>
        </w:rPr>
      </w:pPr>
      <w:r w:rsidRPr="002064E9">
        <w:rPr>
          <w:szCs w:val="26"/>
          <w:lang w:val="en-US"/>
        </w:rPr>
        <w:t>From the theoretical point of view, the main FTA reasons are the mutual benefit of contracting parties arising due to more effective resource allocation at decrease in trade r</w:t>
      </w:r>
      <w:r w:rsidRPr="002064E9">
        <w:rPr>
          <w:szCs w:val="26"/>
          <w:lang w:val="en-US"/>
        </w:rPr>
        <w:t>e</w:t>
      </w:r>
      <w:r w:rsidRPr="002064E9">
        <w:rPr>
          <w:szCs w:val="26"/>
          <w:lang w:val="en-US"/>
        </w:rPr>
        <w:t>strictions (Egger, Larch, 2008; Pahre, 2008; Gruber, 2000; Manger, 2009; Manger, 2009; Baldwin, Jaimovich, 2010; Fugazza, Robert-Nicoud, 2010). In modern conditions, trade agreements mention a wide range of questions, beginning from full cancellation of customs tariffs on trade in goods between contracting parties and finishing any aspects of labor fre</w:t>
      </w:r>
      <w:r w:rsidRPr="002064E9">
        <w:rPr>
          <w:szCs w:val="26"/>
          <w:lang w:val="en-US"/>
        </w:rPr>
        <w:t>e</w:t>
      </w:r>
      <w:r w:rsidRPr="002064E9">
        <w:rPr>
          <w:szCs w:val="26"/>
          <w:lang w:val="en-US"/>
        </w:rPr>
        <w:t>dom, capital and services. So, for example, in (Horn, Mavroidis, Sapir, 2010) it is analyzed, over what questions now, generally conduct negotiations, and is shown that obligations in a services sector, investments, protection of intellectual property rights, technical barriers in trade and a competition policy are of very great importance in modern trade agreements.</w:t>
      </w:r>
    </w:p>
    <w:p w:rsidR="002064E9" w:rsidRPr="002064E9" w:rsidRDefault="002064E9" w:rsidP="002064E9">
      <w:pPr>
        <w:ind w:firstLine="709"/>
        <w:rPr>
          <w:szCs w:val="26"/>
          <w:lang w:val="en-US"/>
        </w:rPr>
      </w:pPr>
      <w:r w:rsidRPr="002064E9">
        <w:rPr>
          <w:szCs w:val="26"/>
          <w:lang w:val="en-US"/>
        </w:rPr>
        <w:t>As the majority of the world countries are members of the WTO, almost all prefere</w:t>
      </w:r>
      <w:r w:rsidRPr="002064E9">
        <w:rPr>
          <w:szCs w:val="26"/>
          <w:lang w:val="en-US"/>
        </w:rPr>
        <w:t>n</w:t>
      </w:r>
      <w:r w:rsidRPr="002064E9">
        <w:rPr>
          <w:szCs w:val="26"/>
          <w:lang w:val="en-US"/>
        </w:rPr>
        <w:t>tial trade agreements have to correspond with WTO rules. In this regard, we raise two que</w:t>
      </w:r>
      <w:r w:rsidRPr="002064E9">
        <w:rPr>
          <w:szCs w:val="26"/>
          <w:lang w:val="en-US"/>
        </w:rPr>
        <w:t>s</w:t>
      </w:r>
      <w:r w:rsidRPr="002064E9">
        <w:rPr>
          <w:szCs w:val="26"/>
          <w:lang w:val="en-US"/>
        </w:rPr>
        <w:t>tion groups in trade agreements. The first group is WTO+, that is the provisions which are falling under the current mandate of the WTO and already being obligations in WTO agreements: trade in industrial and agricultural goods, trade in services, customs administr</w:t>
      </w:r>
      <w:r w:rsidRPr="002064E9">
        <w:rPr>
          <w:szCs w:val="26"/>
          <w:lang w:val="en-US"/>
        </w:rPr>
        <w:t>a</w:t>
      </w:r>
      <w:r w:rsidRPr="002064E9">
        <w:rPr>
          <w:szCs w:val="26"/>
          <w:lang w:val="en-US"/>
        </w:rPr>
        <w:t xml:space="preserve">tion, </w:t>
      </w:r>
      <w:r w:rsidR="00FB0DCE">
        <w:rPr>
          <w:szCs w:val="26"/>
          <w:lang w:val="en-US"/>
        </w:rPr>
        <w:t>exports</w:t>
      </w:r>
      <w:r w:rsidRPr="002064E9">
        <w:rPr>
          <w:szCs w:val="26"/>
          <w:lang w:val="en-US"/>
        </w:rPr>
        <w:t xml:space="preserve"> duties, sanitary and phytosanitary measures, government enterprises, technical barriers in trade, compensated and anti-dumping measures, trade investment measures (TRIMS), intellectual property rights (TRIPS) connected with trade. The second group, WTO–X, is out of the sphere of the WTO: from corruption and a cultural exchange to h</w:t>
      </w:r>
      <w:r w:rsidRPr="002064E9">
        <w:rPr>
          <w:szCs w:val="26"/>
          <w:lang w:val="en-US"/>
        </w:rPr>
        <w:t>u</w:t>
      </w:r>
      <w:r w:rsidRPr="002064E9">
        <w:rPr>
          <w:szCs w:val="26"/>
          <w:lang w:val="en-US"/>
        </w:rPr>
        <w:t>man rights and fight against terrorism.</w:t>
      </w:r>
    </w:p>
    <w:p w:rsidR="002064E9" w:rsidRPr="002064E9" w:rsidRDefault="002064E9" w:rsidP="002064E9">
      <w:pPr>
        <w:ind w:firstLine="709"/>
        <w:rPr>
          <w:szCs w:val="26"/>
          <w:lang w:val="en-US"/>
        </w:rPr>
      </w:pPr>
      <w:r w:rsidRPr="002064E9">
        <w:rPr>
          <w:szCs w:val="26"/>
          <w:lang w:val="en-US"/>
        </w:rPr>
        <w:t xml:space="preserve">To consider possible possibility of free trade agreement with EU, we have to note that EU interacts with neighboring countries in various formats meaning various depth of integration. In this regard, Russia can rely on a certain EU flexibility concerning conditions </w:t>
      </w:r>
      <w:r w:rsidRPr="002064E9">
        <w:rPr>
          <w:szCs w:val="26"/>
          <w:lang w:val="en-US"/>
        </w:rPr>
        <w:lastRenderedPageBreak/>
        <w:t>of such trade agreement. The main questions that can be mentioned in this trade agreement are WTO+ ones, questions of assistance to the mutual investments, separate sectorial a</w:t>
      </w:r>
      <w:r w:rsidRPr="002064E9">
        <w:rPr>
          <w:szCs w:val="26"/>
          <w:lang w:val="en-US"/>
        </w:rPr>
        <w:t>r</w:t>
      </w:r>
      <w:r w:rsidRPr="002064E9">
        <w:rPr>
          <w:szCs w:val="26"/>
          <w:lang w:val="en-US"/>
        </w:rPr>
        <w:t>rangements (by an example of EU–Switzerland interaction experience).</w:t>
      </w:r>
    </w:p>
    <w:p w:rsidR="002064E9" w:rsidRPr="002064E9" w:rsidRDefault="002064E9" w:rsidP="002064E9">
      <w:pPr>
        <w:ind w:firstLine="709"/>
        <w:rPr>
          <w:szCs w:val="26"/>
          <w:lang w:val="en-US"/>
        </w:rPr>
      </w:pPr>
      <w:r w:rsidRPr="002064E9">
        <w:rPr>
          <w:szCs w:val="26"/>
          <w:lang w:val="en-US"/>
        </w:rPr>
        <w:t>We have to mention the major aspect which needs to be considered at integration with EU discussion. From 2010, when Customs Union (CU) started, the trade policy of Russia, Belarus and Kazakhstan was transferred to supranational level to the Eurasian Ec</w:t>
      </w:r>
      <w:r w:rsidRPr="002064E9">
        <w:rPr>
          <w:szCs w:val="26"/>
          <w:lang w:val="en-US"/>
        </w:rPr>
        <w:t>o</w:t>
      </w:r>
      <w:r w:rsidRPr="002064E9">
        <w:rPr>
          <w:szCs w:val="26"/>
          <w:lang w:val="en-US"/>
        </w:rPr>
        <w:t>nomic Commission just as and in the EU, the European Commission carries out functions of supranational institute which sign all external trade and economic agreements. In this r</w:t>
      </w:r>
      <w:r w:rsidRPr="002064E9">
        <w:rPr>
          <w:szCs w:val="26"/>
          <w:lang w:val="en-US"/>
        </w:rPr>
        <w:t>e</w:t>
      </w:r>
      <w:r w:rsidRPr="002064E9">
        <w:rPr>
          <w:szCs w:val="26"/>
          <w:lang w:val="en-US"/>
        </w:rPr>
        <w:t xml:space="preserve">gard, it is correct to discuss conditions and consequences of trade agreement between CU and EU. Apparently, now the agreement between the CU and EU is hard-hitting for political reasons that we will not discuss. The real research is </w:t>
      </w:r>
      <w:proofErr w:type="gramStart"/>
      <w:r w:rsidRPr="002064E9">
        <w:rPr>
          <w:szCs w:val="26"/>
          <w:lang w:val="en-US"/>
        </w:rPr>
        <w:t>attempt</w:t>
      </w:r>
      <w:proofErr w:type="gramEnd"/>
      <w:r w:rsidRPr="002064E9">
        <w:rPr>
          <w:szCs w:val="26"/>
          <w:lang w:val="en-US"/>
        </w:rPr>
        <w:t xml:space="preserve"> to answer a question, to what economic consequences can lead the trade agreement between considered blocks.</w:t>
      </w:r>
    </w:p>
    <w:p w:rsidR="002064E9" w:rsidRPr="002064E9" w:rsidRDefault="002064E9" w:rsidP="002064E9">
      <w:pPr>
        <w:ind w:firstLine="709"/>
        <w:rPr>
          <w:szCs w:val="26"/>
          <w:lang w:val="en-US"/>
        </w:rPr>
      </w:pPr>
      <w:r w:rsidRPr="002064E9">
        <w:rPr>
          <w:szCs w:val="26"/>
          <w:lang w:val="en-US"/>
        </w:rPr>
        <w:t>The possible agreement has to include a set of questions, since tariffs in trade in goods and decrease in barriers on group of the questions relating to a range of WTO+ and finishing separate sectorial arrangements. In this paper we try to discuss economic cons</w:t>
      </w:r>
      <w:r w:rsidRPr="002064E9">
        <w:rPr>
          <w:szCs w:val="26"/>
          <w:lang w:val="en-US"/>
        </w:rPr>
        <w:t>e</w:t>
      </w:r>
      <w:r w:rsidRPr="002064E9">
        <w:rPr>
          <w:szCs w:val="26"/>
          <w:lang w:val="en-US"/>
        </w:rPr>
        <w:t>quences of free trade agreement meaning mutual duty-free trade in goods between the CU and EU. First, it is the first stage of serious economic integration therefore it is represented natural first of all to investigate its consequence. Secondly, zeroing of the specific, ad va</w:t>
      </w:r>
      <w:r w:rsidRPr="002064E9">
        <w:rPr>
          <w:szCs w:val="26"/>
          <w:lang w:val="en-US"/>
        </w:rPr>
        <w:t>l</w:t>
      </w:r>
      <w:r w:rsidRPr="002064E9">
        <w:rPr>
          <w:szCs w:val="26"/>
          <w:lang w:val="en-US"/>
        </w:rPr>
        <w:t xml:space="preserve">orem and combined customs duties in mutual trade in goods is the mental experiment which directly is giving in to quantitative measurement. </w:t>
      </w:r>
    </w:p>
    <w:p w:rsidR="002064E9" w:rsidRPr="002064E9" w:rsidRDefault="002064E9" w:rsidP="002064E9">
      <w:pPr>
        <w:ind w:firstLine="709"/>
        <w:rPr>
          <w:szCs w:val="26"/>
          <w:lang w:val="en-US"/>
        </w:rPr>
      </w:pPr>
      <w:r w:rsidRPr="002064E9">
        <w:rPr>
          <w:szCs w:val="26"/>
          <w:lang w:val="en-US"/>
        </w:rPr>
        <w:t>One of the most popular and demanded tools of free trade agreements consequences estimation is Computable General Equilibrium model (CGE) which structural equations r</w:t>
      </w:r>
      <w:r w:rsidRPr="002064E9">
        <w:rPr>
          <w:szCs w:val="26"/>
          <w:lang w:val="en-US"/>
        </w:rPr>
        <w:t>e</w:t>
      </w:r>
      <w:r w:rsidRPr="002064E9">
        <w:rPr>
          <w:szCs w:val="26"/>
          <w:lang w:val="en-US"/>
        </w:rPr>
        <w:t>flect the general balance in all markets that allows to analyze influence of various external economic changes on national economy (see Clausing, 2001; Trefler, 2004; Romalis, 2007; Chang, Winters, 2002; Egger, 2004; Magee, 2008; Carrere, 2006; Baier, Bergstrand, 2004; Harris, 2006). At a choice of the equations assumptions of technology and production fa</w:t>
      </w:r>
      <w:r w:rsidRPr="002064E9">
        <w:rPr>
          <w:szCs w:val="26"/>
          <w:lang w:val="en-US"/>
        </w:rPr>
        <w:t>c</w:t>
      </w:r>
      <w:r w:rsidRPr="002064E9">
        <w:rPr>
          <w:szCs w:val="26"/>
          <w:lang w:val="en-US"/>
        </w:rPr>
        <w:t>tors, preferences of agents, economic policy of the government, competition level, etc. b</w:t>
      </w:r>
      <w:r w:rsidRPr="002064E9">
        <w:rPr>
          <w:szCs w:val="26"/>
          <w:lang w:val="en-US"/>
        </w:rPr>
        <w:t>e</w:t>
      </w:r>
      <w:r w:rsidRPr="002064E9">
        <w:rPr>
          <w:szCs w:val="26"/>
          <w:lang w:val="en-US"/>
        </w:rPr>
        <w:t>come. Now the models assuming the perfect competition and capital accumulation are most widespread (Hertel, 1997; Cheong, Wang, 1999; Brown, Deardorff, Stern, 2001; McDaniel, Fox, 2001; Choi, Schott, 2001, 2004; Ghosh, Rao, 2005; Francois, McQueen, 2005; Sir</w:t>
      </w:r>
      <w:r w:rsidRPr="002064E9">
        <w:rPr>
          <w:szCs w:val="26"/>
          <w:lang w:val="en-US"/>
        </w:rPr>
        <w:t>i</w:t>
      </w:r>
      <w:r w:rsidRPr="002064E9">
        <w:rPr>
          <w:szCs w:val="26"/>
          <w:lang w:val="en-US"/>
        </w:rPr>
        <w:t>wardana, Yang, 2007; Georges, 2008).</w:t>
      </w:r>
    </w:p>
    <w:p w:rsidR="002064E9" w:rsidRPr="002064E9" w:rsidRDefault="002064E9" w:rsidP="002064E9">
      <w:pPr>
        <w:ind w:firstLine="709"/>
        <w:rPr>
          <w:szCs w:val="26"/>
          <w:lang w:val="en-US"/>
        </w:rPr>
      </w:pPr>
      <w:r w:rsidRPr="002064E9">
        <w:rPr>
          <w:szCs w:val="26"/>
          <w:lang w:val="en-US"/>
        </w:rPr>
        <w:lastRenderedPageBreak/>
        <w:t>Advantage of CGE models versus econometric models is possibility of estimation the effects from government economic policy and ability to analyze changes of such macro va</w:t>
      </w:r>
      <w:r w:rsidRPr="002064E9">
        <w:rPr>
          <w:szCs w:val="26"/>
          <w:lang w:val="en-US"/>
        </w:rPr>
        <w:t>r</w:t>
      </w:r>
      <w:r w:rsidRPr="002064E9">
        <w:rPr>
          <w:szCs w:val="26"/>
          <w:lang w:val="en-US"/>
        </w:rPr>
        <w:t xml:space="preserve">iables as GDP, </w:t>
      </w:r>
      <w:r w:rsidR="00FB0DCE">
        <w:rPr>
          <w:szCs w:val="26"/>
          <w:lang w:val="en-US"/>
        </w:rPr>
        <w:t>exports</w:t>
      </w:r>
      <w:r w:rsidRPr="002064E9">
        <w:rPr>
          <w:szCs w:val="26"/>
          <w:lang w:val="en-US"/>
        </w:rPr>
        <w:t xml:space="preserve">, </w:t>
      </w:r>
      <w:r w:rsidR="00FB0DCE">
        <w:rPr>
          <w:szCs w:val="26"/>
          <w:lang w:val="en-US"/>
        </w:rPr>
        <w:t>imports</w:t>
      </w:r>
      <w:r w:rsidRPr="002064E9">
        <w:rPr>
          <w:szCs w:val="26"/>
          <w:lang w:val="en-US"/>
        </w:rPr>
        <w:t xml:space="preserve">. Besides, by means of CGE models it is possible to estimate potential changes of various economic indicators at sectorial level. It allows </w:t>
      </w:r>
      <w:proofErr w:type="gramStart"/>
      <w:r w:rsidRPr="002064E9">
        <w:rPr>
          <w:szCs w:val="26"/>
          <w:lang w:val="en-US"/>
        </w:rPr>
        <w:t>to analyze</w:t>
      </w:r>
      <w:proofErr w:type="gramEnd"/>
      <w:r w:rsidRPr="002064E9">
        <w:rPr>
          <w:szCs w:val="26"/>
          <w:lang w:val="en-US"/>
        </w:rPr>
        <w:t xml:space="preserve"> e</w:t>
      </w:r>
      <w:r w:rsidRPr="002064E9">
        <w:rPr>
          <w:szCs w:val="26"/>
          <w:lang w:val="en-US"/>
        </w:rPr>
        <w:t>f</w:t>
      </w:r>
      <w:r w:rsidRPr="002064E9">
        <w:rPr>
          <w:szCs w:val="26"/>
          <w:lang w:val="en-US"/>
        </w:rPr>
        <w:t>fects of government policy, including FTA formation, in the terms "winning and losing" i</w:t>
      </w:r>
      <w:r w:rsidRPr="002064E9">
        <w:rPr>
          <w:szCs w:val="26"/>
          <w:lang w:val="en-US"/>
        </w:rPr>
        <w:t>n</w:t>
      </w:r>
      <w:r w:rsidRPr="002064E9">
        <w:rPr>
          <w:szCs w:val="26"/>
          <w:lang w:val="en-US"/>
        </w:rPr>
        <w:t xml:space="preserve">dustries that gives deeper understanding of in what sectors separate arrangements with the trade partner are necessary. </w:t>
      </w:r>
      <w:proofErr w:type="gramStart"/>
      <w:r w:rsidRPr="002064E9">
        <w:rPr>
          <w:szCs w:val="26"/>
          <w:lang w:val="en-US"/>
        </w:rPr>
        <w:t>(Teixeira, Raszap-Skorbiansky, 2010; Németh, Szabó, Ciscar, 2011; Perali, Pieroni, Standardi, 2012; Lakatos, Walmsley, 2012).</w:t>
      </w:r>
      <w:proofErr w:type="gramEnd"/>
      <w:r w:rsidRPr="002064E9">
        <w:rPr>
          <w:szCs w:val="26"/>
          <w:lang w:val="en-US"/>
        </w:rPr>
        <w:t xml:space="preserve"> </w:t>
      </w:r>
    </w:p>
    <w:p w:rsidR="002064E9" w:rsidRPr="002064E9" w:rsidRDefault="002064E9" w:rsidP="002064E9">
      <w:pPr>
        <w:ind w:firstLine="708"/>
        <w:rPr>
          <w:szCs w:val="26"/>
          <w:lang w:val="en-US"/>
        </w:rPr>
      </w:pPr>
      <w:r w:rsidRPr="002064E9">
        <w:rPr>
          <w:szCs w:val="26"/>
          <w:lang w:val="en-US"/>
        </w:rPr>
        <w:t xml:space="preserve">In this paper we use CGE Globe v1 model offered by McDonald, Thierfelder, </w:t>
      </w:r>
      <w:proofErr w:type="gramStart"/>
      <w:r w:rsidRPr="002064E9">
        <w:rPr>
          <w:szCs w:val="26"/>
          <w:lang w:val="en-US"/>
        </w:rPr>
        <w:t>Robi</w:t>
      </w:r>
      <w:r w:rsidRPr="002064E9">
        <w:rPr>
          <w:szCs w:val="26"/>
          <w:lang w:val="en-US"/>
        </w:rPr>
        <w:t>n</w:t>
      </w:r>
      <w:r w:rsidRPr="002064E9">
        <w:rPr>
          <w:szCs w:val="26"/>
          <w:lang w:val="en-US"/>
        </w:rPr>
        <w:t>son</w:t>
      </w:r>
      <w:proofErr w:type="gramEnd"/>
      <w:r w:rsidRPr="002064E9">
        <w:rPr>
          <w:szCs w:val="26"/>
          <w:lang w:val="en-US"/>
        </w:rPr>
        <w:t xml:space="preserve"> in 2007</w:t>
      </w:r>
      <w:r w:rsidRPr="002064E9">
        <w:rPr>
          <w:szCs w:val="26"/>
          <w:vertAlign w:val="superscript"/>
        </w:rPr>
        <w:footnoteReference w:id="1"/>
      </w:r>
      <w:r w:rsidRPr="002064E9">
        <w:rPr>
          <w:szCs w:val="26"/>
          <w:lang w:val="en-US"/>
        </w:rPr>
        <w:t>. The detailed description of this model and necessary data is provided in (McDonald, 2003; McDonald, Sonmez, 2004; McDonald, Thierfelder, 2004; McDonald, Thierfelder, Robinson, 2007). The model is based on assumptions about the perfect comp</w:t>
      </w:r>
      <w:r w:rsidRPr="002064E9">
        <w:rPr>
          <w:szCs w:val="26"/>
          <w:lang w:val="en-US"/>
        </w:rPr>
        <w:t>e</w:t>
      </w:r>
      <w:r w:rsidRPr="002064E9">
        <w:rPr>
          <w:szCs w:val="26"/>
          <w:lang w:val="en-US"/>
        </w:rPr>
        <w:t xml:space="preserve">tition and constant returns to scale. In the model it is supposed that </w:t>
      </w:r>
      <w:r w:rsidR="00FB0DCE">
        <w:rPr>
          <w:szCs w:val="26"/>
          <w:lang w:val="en-US"/>
        </w:rPr>
        <w:t>imports</w:t>
      </w:r>
      <w:r w:rsidRPr="002064E9">
        <w:rPr>
          <w:szCs w:val="26"/>
          <w:lang w:val="en-US"/>
        </w:rPr>
        <w:t xml:space="preserve"> goods are </w:t>
      </w:r>
      <w:proofErr w:type="gramStart"/>
      <w:r w:rsidRPr="002064E9">
        <w:rPr>
          <w:szCs w:val="26"/>
          <w:lang w:val="en-US"/>
        </w:rPr>
        <w:t>diffe</w:t>
      </w:r>
      <w:r w:rsidRPr="002064E9">
        <w:rPr>
          <w:szCs w:val="26"/>
          <w:lang w:val="en-US"/>
        </w:rPr>
        <w:t>r</w:t>
      </w:r>
      <w:r w:rsidRPr="002064E9">
        <w:rPr>
          <w:szCs w:val="26"/>
          <w:lang w:val="en-US"/>
        </w:rPr>
        <w:t>entiated,</w:t>
      </w:r>
      <w:proofErr w:type="gramEnd"/>
      <w:r w:rsidRPr="002064E9">
        <w:rPr>
          <w:szCs w:val="26"/>
          <w:lang w:val="en-US"/>
        </w:rPr>
        <w:t xml:space="preserve"> are divided on a national origin and countries has elements of market power which is realized through their tariff rates. As a result, decrease in tariffs can lead to considerable effects from terms of trade change because of market power destruction. Differentiation of goods of the same industry depending on the country of goods' origin (including domestic goods), is modelled by means of function with constant elasticity of substitution (CES). At such form of composite consumer goods aggregation domestic and </w:t>
      </w:r>
      <w:r w:rsidR="00FB0DCE">
        <w:rPr>
          <w:szCs w:val="26"/>
          <w:lang w:val="en-US"/>
        </w:rPr>
        <w:t>imports</w:t>
      </w:r>
      <w:r w:rsidRPr="002064E9">
        <w:rPr>
          <w:szCs w:val="26"/>
          <w:lang w:val="en-US"/>
        </w:rPr>
        <w:t xml:space="preserve"> goods </w:t>
      </w:r>
      <w:proofErr w:type="gramStart"/>
      <w:r w:rsidRPr="002064E9">
        <w:rPr>
          <w:szCs w:val="26"/>
          <w:lang w:val="en-US"/>
        </w:rPr>
        <w:t>aren't</w:t>
      </w:r>
      <w:proofErr w:type="gramEnd"/>
      <w:r w:rsidRPr="002064E9">
        <w:rPr>
          <w:szCs w:val="26"/>
          <w:lang w:val="en-US"/>
        </w:rPr>
        <w:t xml:space="preserve"> completely neither substitutes, nor compliments: in any balance that will be consumed at the same time all goods strictly in positive quantity. Such CES function property allows </w:t>
      </w:r>
      <w:proofErr w:type="gramStart"/>
      <w:r w:rsidRPr="002064E9">
        <w:rPr>
          <w:szCs w:val="26"/>
          <w:lang w:val="en-US"/>
        </w:rPr>
        <w:t>to model</w:t>
      </w:r>
      <w:proofErr w:type="gramEnd"/>
      <w:r w:rsidRPr="002064E9">
        <w:rPr>
          <w:szCs w:val="26"/>
          <w:lang w:val="en-US"/>
        </w:rPr>
        <w:t xml:space="preserve"> the unequal prices of domestic and </w:t>
      </w:r>
      <w:r w:rsidR="00FB0DCE">
        <w:rPr>
          <w:szCs w:val="26"/>
          <w:lang w:val="en-US"/>
        </w:rPr>
        <w:t>imports</w:t>
      </w:r>
      <w:r w:rsidRPr="002064E9">
        <w:rPr>
          <w:szCs w:val="26"/>
          <w:lang w:val="en-US"/>
        </w:rPr>
        <w:t xml:space="preserve"> goods and is correspond to real situation at which practically all countries consume both domestic and </w:t>
      </w:r>
      <w:r w:rsidR="00FB0DCE">
        <w:rPr>
          <w:szCs w:val="26"/>
          <w:lang w:val="en-US"/>
        </w:rPr>
        <w:t>imports</w:t>
      </w:r>
      <w:r w:rsidRPr="002064E9">
        <w:rPr>
          <w:szCs w:val="26"/>
          <w:lang w:val="en-US"/>
        </w:rPr>
        <w:t xml:space="preserve"> goods.</w:t>
      </w:r>
    </w:p>
    <w:p w:rsidR="002064E9" w:rsidRPr="002064E9" w:rsidRDefault="002064E9" w:rsidP="002064E9">
      <w:pPr>
        <w:ind w:firstLine="708"/>
        <w:rPr>
          <w:szCs w:val="26"/>
          <w:lang w:val="en-US"/>
        </w:rPr>
      </w:pPr>
      <w:r w:rsidRPr="002064E9">
        <w:rPr>
          <w:szCs w:val="26"/>
          <w:lang w:val="en-US"/>
        </w:rPr>
        <w:t>One of the main CGE models drawback is the results dependence of on a choice of a calibration way and values of parameters (Pak, Yongduk, 2006). In such way, stability ana</w:t>
      </w:r>
      <w:r w:rsidRPr="002064E9">
        <w:rPr>
          <w:szCs w:val="26"/>
          <w:lang w:val="en-US"/>
        </w:rPr>
        <w:t>l</w:t>
      </w:r>
      <w:r w:rsidRPr="002064E9">
        <w:rPr>
          <w:szCs w:val="26"/>
          <w:lang w:val="en-US"/>
        </w:rPr>
        <w:t>ysis of model results is necessary.</w:t>
      </w:r>
    </w:p>
    <w:p w:rsidR="00FB0615" w:rsidRPr="002064E9" w:rsidRDefault="005C0975" w:rsidP="00BE618C">
      <w:pPr>
        <w:ind w:firstLine="0"/>
        <w:rPr>
          <w:szCs w:val="26"/>
          <w:lang w:val="en-US"/>
        </w:rPr>
      </w:pPr>
      <w:r w:rsidRPr="002064E9">
        <w:rPr>
          <w:szCs w:val="26"/>
          <w:lang w:val="en-US"/>
        </w:rPr>
        <w:tab/>
      </w:r>
    </w:p>
    <w:p w:rsidR="002064E9" w:rsidRPr="002064E9" w:rsidRDefault="002064E9" w:rsidP="002064E9">
      <w:pPr>
        <w:keepNext/>
        <w:spacing w:before="240" w:after="240" w:line="240" w:lineRule="auto"/>
        <w:ind w:firstLine="0"/>
        <w:outlineLvl w:val="0"/>
        <w:rPr>
          <w:b/>
          <w:bCs/>
          <w:kern w:val="32"/>
          <w:sz w:val="30"/>
          <w:szCs w:val="30"/>
          <w:lang w:val="en-US"/>
        </w:rPr>
      </w:pPr>
      <w:r w:rsidRPr="002064E9">
        <w:rPr>
          <w:b/>
          <w:bCs/>
          <w:kern w:val="32"/>
          <w:sz w:val="30"/>
          <w:szCs w:val="30"/>
          <w:lang w:val="en-US"/>
        </w:rPr>
        <w:lastRenderedPageBreak/>
        <w:t>Modelling of the CU—EU Free Trade Agreement</w:t>
      </w:r>
    </w:p>
    <w:p w:rsidR="002064E9" w:rsidRPr="002064E9" w:rsidRDefault="002064E9" w:rsidP="002064E9">
      <w:pPr>
        <w:ind w:firstLine="708"/>
        <w:rPr>
          <w:szCs w:val="26"/>
          <w:lang w:val="en-US"/>
        </w:rPr>
      </w:pPr>
      <w:r w:rsidRPr="002064E9">
        <w:rPr>
          <w:szCs w:val="26"/>
          <w:lang w:val="en-US"/>
        </w:rPr>
        <w:t xml:space="preserve">This section analyzes the effects of an FTA between the Russian Federation and the EU, using a general equilibrium model Globe v1, a detailed description of which is given in (McDonald, Thierfelder, Robinson, 2007). We assume that all </w:t>
      </w:r>
      <w:r w:rsidR="00FB0DCE">
        <w:rPr>
          <w:szCs w:val="26"/>
          <w:lang w:val="en-US"/>
        </w:rPr>
        <w:t>imports</w:t>
      </w:r>
      <w:r w:rsidRPr="002064E9">
        <w:rPr>
          <w:szCs w:val="26"/>
          <w:lang w:val="en-US"/>
        </w:rPr>
        <w:t xml:space="preserve"> duties between the CU and the EU are mutually canceled.</w:t>
      </w:r>
    </w:p>
    <w:p w:rsidR="002064E9" w:rsidRPr="002064E9" w:rsidRDefault="002064E9" w:rsidP="002064E9">
      <w:pPr>
        <w:rPr>
          <w:szCs w:val="26"/>
          <w:lang w:val="en-US"/>
        </w:rPr>
      </w:pPr>
      <w:r w:rsidRPr="002064E9">
        <w:rPr>
          <w:szCs w:val="26"/>
          <w:lang w:val="en-US"/>
        </w:rPr>
        <w:t xml:space="preserve">Table </w:t>
      </w:r>
      <w:r w:rsidRPr="002064E9">
        <w:fldChar w:fldCharType="begin"/>
      </w:r>
      <w:r w:rsidRPr="002064E9">
        <w:rPr>
          <w:lang w:val="en-US"/>
        </w:rPr>
        <w:instrText xml:space="preserve"> REF _Ref343618323 \h  \* MERGEFORMAT </w:instrText>
      </w:r>
      <w:r w:rsidRPr="002064E9">
        <w:fldChar w:fldCharType="separate"/>
      </w:r>
      <w:r w:rsidRPr="002064E9">
        <w:rPr>
          <w:lang w:val="en-US"/>
        </w:rPr>
        <w:t>3</w:t>
      </w:r>
      <w:r w:rsidRPr="002064E9">
        <w:fldChar w:fldCharType="end"/>
      </w:r>
      <w:r w:rsidRPr="002064E9">
        <w:rPr>
          <w:szCs w:val="26"/>
          <w:lang w:val="en-US"/>
        </w:rPr>
        <w:t xml:space="preserve"> presets the results of modeling the impact of the FTA on GDP for each pa</w:t>
      </w:r>
      <w:r w:rsidRPr="002064E9">
        <w:rPr>
          <w:szCs w:val="26"/>
          <w:lang w:val="en-US"/>
        </w:rPr>
        <w:t>r</w:t>
      </w:r>
      <w:r w:rsidRPr="002064E9">
        <w:rPr>
          <w:szCs w:val="26"/>
          <w:lang w:val="en-US"/>
        </w:rPr>
        <w:t>ticipant, which show the percentage change in GDP in relation to the initial level. The r</w:t>
      </w:r>
      <w:r w:rsidRPr="002064E9">
        <w:rPr>
          <w:szCs w:val="26"/>
          <w:lang w:val="en-US"/>
        </w:rPr>
        <w:t>e</w:t>
      </w:r>
      <w:r w:rsidRPr="002064E9">
        <w:rPr>
          <w:szCs w:val="26"/>
          <w:lang w:val="en-US"/>
        </w:rPr>
        <w:t>sults reflect only the effect of the FTA and do not reflect the change in GDP, which would have happen without a trade agreement, that is, these results can be interpreted as the net effect of changes in GDP from the FTA. All the variables listed in the tables below, pr</w:t>
      </w:r>
      <w:r w:rsidRPr="002064E9">
        <w:rPr>
          <w:szCs w:val="26"/>
          <w:lang w:val="en-US"/>
        </w:rPr>
        <w:t>o</w:t>
      </w:r>
      <w:r w:rsidRPr="002064E9">
        <w:rPr>
          <w:szCs w:val="26"/>
          <w:lang w:val="en-US"/>
        </w:rPr>
        <w:t xml:space="preserve">vides similar percentage contribution of the trade agreement to GDP, production, </w:t>
      </w:r>
      <w:r w:rsidR="00FB0DCE">
        <w:rPr>
          <w:szCs w:val="26"/>
          <w:lang w:val="en-US"/>
        </w:rPr>
        <w:t>imports</w:t>
      </w:r>
      <w:r w:rsidRPr="002064E9">
        <w:rPr>
          <w:szCs w:val="26"/>
          <w:lang w:val="en-US"/>
        </w:rPr>
        <w:t xml:space="preserve">, </w:t>
      </w:r>
      <w:r w:rsidR="00FB0DCE">
        <w:rPr>
          <w:szCs w:val="26"/>
          <w:lang w:val="en-US"/>
        </w:rPr>
        <w:t>exports</w:t>
      </w:r>
      <w:r w:rsidRPr="002064E9">
        <w:rPr>
          <w:szCs w:val="26"/>
          <w:lang w:val="en-US"/>
        </w:rPr>
        <w:t>.</w:t>
      </w:r>
    </w:p>
    <w:p w:rsidR="002064E9" w:rsidRPr="002064E9" w:rsidRDefault="002064E9" w:rsidP="002064E9">
      <w:pPr>
        <w:keepNext/>
        <w:ind w:firstLine="0"/>
        <w:rPr>
          <w:smallCaps/>
          <w:szCs w:val="26"/>
          <w:lang w:val="en-US"/>
        </w:rPr>
      </w:pPr>
      <w:r w:rsidRPr="002064E9">
        <w:rPr>
          <w:i/>
          <w:smallCaps/>
          <w:szCs w:val="26"/>
          <w:lang w:val="en-US"/>
        </w:rPr>
        <w:t>Table</w:t>
      </w:r>
      <w:r w:rsidRPr="002064E9">
        <w:rPr>
          <w:smallCaps/>
          <w:szCs w:val="26"/>
          <w:lang w:val="en-US"/>
        </w:rPr>
        <w:t xml:space="preserve"> </w:t>
      </w:r>
      <w:r w:rsidRPr="002064E9">
        <w:rPr>
          <w:smallCaps/>
          <w:szCs w:val="26"/>
        </w:rPr>
        <w:fldChar w:fldCharType="begin"/>
      </w:r>
      <w:r w:rsidRPr="002064E9">
        <w:rPr>
          <w:smallCaps/>
          <w:szCs w:val="26"/>
          <w:lang w:val="en-US"/>
        </w:rPr>
        <w:instrText xml:space="preserve"> SEQ </w:instrText>
      </w:r>
      <w:r w:rsidRPr="002064E9">
        <w:rPr>
          <w:smallCaps/>
          <w:szCs w:val="26"/>
        </w:rPr>
        <w:instrText>Таблица</w:instrText>
      </w:r>
      <w:r w:rsidRPr="002064E9">
        <w:rPr>
          <w:smallCaps/>
          <w:szCs w:val="26"/>
          <w:lang w:val="en-US"/>
        </w:rPr>
        <w:instrText xml:space="preserve"> \* ARABIC </w:instrText>
      </w:r>
      <w:r w:rsidRPr="002064E9">
        <w:rPr>
          <w:smallCaps/>
          <w:szCs w:val="26"/>
        </w:rPr>
        <w:fldChar w:fldCharType="separate"/>
      </w:r>
      <w:bookmarkStart w:id="0" w:name="_Ref343618323"/>
      <w:r w:rsidRPr="002064E9">
        <w:rPr>
          <w:smallCaps/>
          <w:noProof/>
          <w:szCs w:val="26"/>
          <w:lang w:val="en-US"/>
        </w:rPr>
        <w:t>3</w:t>
      </w:r>
      <w:bookmarkEnd w:id="0"/>
      <w:r w:rsidRPr="002064E9">
        <w:rPr>
          <w:smallCaps/>
          <w:szCs w:val="26"/>
        </w:rPr>
        <w:fldChar w:fldCharType="end"/>
      </w:r>
    </w:p>
    <w:p w:rsidR="002064E9" w:rsidRPr="002064E9" w:rsidRDefault="002064E9" w:rsidP="002064E9">
      <w:pPr>
        <w:keepNext/>
        <w:widowControl w:val="0"/>
        <w:autoSpaceDE w:val="0"/>
        <w:autoSpaceDN w:val="0"/>
        <w:adjustRightInd w:val="0"/>
        <w:spacing w:after="120" w:line="240" w:lineRule="auto"/>
        <w:ind w:firstLine="0"/>
        <w:jc w:val="center"/>
        <w:rPr>
          <w:b/>
          <w:sz w:val="24"/>
          <w:szCs w:val="24"/>
          <w:lang w:val="en-US"/>
        </w:rPr>
      </w:pPr>
      <w:r w:rsidRPr="002064E9">
        <w:rPr>
          <w:b/>
          <w:sz w:val="24"/>
          <w:szCs w:val="24"/>
          <w:lang w:val="en-US"/>
        </w:rPr>
        <w:t>Impact of the FTA on GDP (in %)</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3285"/>
        <w:gridCol w:w="3210"/>
      </w:tblGrid>
      <w:tr w:rsidR="002064E9" w:rsidRPr="002064E9" w:rsidTr="00CF379C">
        <w:trPr>
          <w:trHeight w:val="20"/>
        </w:trPr>
        <w:tc>
          <w:tcPr>
            <w:tcW w:w="1643" w:type="pct"/>
            <w:vAlign w:val="center"/>
          </w:tcPr>
          <w:p w:rsidR="002064E9" w:rsidRPr="002064E9" w:rsidRDefault="002064E9" w:rsidP="002064E9">
            <w:pPr>
              <w:spacing w:line="240" w:lineRule="auto"/>
              <w:ind w:firstLine="0"/>
              <w:rPr>
                <w:rFonts w:eastAsia="Times New Roman"/>
                <w:b/>
                <w:sz w:val="20"/>
                <w:lang w:val="en-US"/>
              </w:rPr>
            </w:pPr>
            <w:r w:rsidRPr="002064E9">
              <w:rPr>
                <w:rFonts w:eastAsia="Times New Roman"/>
                <w:b/>
                <w:sz w:val="20"/>
                <w:lang w:val="en-US"/>
              </w:rPr>
              <w:t>Region</w:t>
            </w:r>
          </w:p>
        </w:tc>
        <w:tc>
          <w:tcPr>
            <w:tcW w:w="1698" w:type="pct"/>
            <w:vAlign w:val="center"/>
          </w:tcPr>
          <w:p w:rsidR="002064E9" w:rsidRPr="002064E9" w:rsidRDefault="002064E9" w:rsidP="002064E9">
            <w:pPr>
              <w:spacing w:line="240" w:lineRule="auto"/>
              <w:ind w:firstLine="0"/>
              <w:jc w:val="center"/>
              <w:rPr>
                <w:rFonts w:eastAsia="Times New Roman"/>
                <w:b/>
                <w:sz w:val="20"/>
                <w:lang w:val="en-US"/>
              </w:rPr>
            </w:pPr>
            <w:r w:rsidRPr="002064E9">
              <w:rPr>
                <w:rFonts w:eastAsia="Times New Roman"/>
                <w:b/>
                <w:sz w:val="20"/>
                <w:lang w:val="en-US"/>
              </w:rPr>
              <w:t>Short run</w:t>
            </w:r>
          </w:p>
        </w:tc>
        <w:tc>
          <w:tcPr>
            <w:tcW w:w="1659" w:type="pct"/>
            <w:vAlign w:val="center"/>
          </w:tcPr>
          <w:p w:rsidR="002064E9" w:rsidRPr="002064E9" w:rsidRDefault="002064E9" w:rsidP="002064E9">
            <w:pPr>
              <w:spacing w:line="240" w:lineRule="auto"/>
              <w:ind w:firstLine="0"/>
              <w:jc w:val="center"/>
              <w:rPr>
                <w:rFonts w:eastAsia="Times New Roman"/>
                <w:b/>
                <w:sz w:val="20"/>
                <w:lang w:val="en-US"/>
              </w:rPr>
            </w:pPr>
            <w:r w:rsidRPr="002064E9">
              <w:rPr>
                <w:rFonts w:eastAsia="Times New Roman"/>
                <w:b/>
                <w:sz w:val="20"/>
                <w:lang w:val="en-US"/>
              </w:rPr>
              <w:t>Long run</w:t>
            </w:r>
          </w:p>
        </w:tc>
      </w:tr>
      <w:tr w:rsidR="002064E9" w:rsidRPr="002064E9" w:rsidTr="00CF379C">
        <w:trPr>
          <w:trHeight w:val="20"/>
        </w:trPr>
        <w:tc>
          <w:tcPr>
            <w:tcW w:w="1643" w:type="pct"/>
            <w:vAlign w:val="center"/>
          </w:tcPr>
          <w:p w:rsidR="002064E9" w:rsidRPr="002064E9" w:rsidRDefault="002064E9" w:rsidP="002064E9">
            <w:pPr>
              <w:spacing w:line="240" w:lineRule="auto"/>
              <w:ind w:firstLine="0"/>
              <w:rPr>
                <w:rFonts w:eastAsia="Times New Roman"/>
                <w:sz w:val="20"/>
                <w:lang w:val="en-US"/>
              </w:rPr>
            </w:pPr>
            <w:r w:rsidRPr="002064E9">
              <w:rPr>
                <w:rFonts w:eastAsia="Times New Roman"/>
                <w:sz w:val="20"/>
                <w:lang w:val="en-US"/>
              </w:rPr>
              <w:t>Russia</w:t>
            </w:r>
          </w:p>
        </w:tc>
        <w:tc>
          <w:tcPr>
            <w:tcW w:w="1698" w:type="pct"/>
            <w:vAlign w:val="center"/>
          </w:tcPr>
          <w:p w:rsidR="002064E9" w:rsidRPr="002064E9" w:rsidRDefault="002064E9" w:rsidP="002064E9">
            <w:pPr>
              <w:spacing w:line="240" w:lineRule="auto"/>
              <w:ind w:firstLine="0"/>
              <w:jc w:val="center"/>
              <w:rPr>
                <w:sz w:val="20"/>
              </w:rPr>
            </w:pPr>
            <w:r w:rsidRPr="002064E9">
              <w:rPr>
                <w:sz w:val="20"/>
              </w:rPr>
              <w:t>0.8</w:t>
            </w:r>
          </w:p>
        </w:tc>
        <w:tc>
          <w:tcPr>
            <w:tcW w:w="1659" w:type="pct"/>
            <w:vAlign w:val="center"/>
          </w:tcPr>
          <w:p w:rsidR="002064E9" w:rsidRPr="002064E9" w:rsidRDefault="002064E9" w:rsidP="002064E9">
            <w:pPr>
              <w:spacing w:line="240" w:lineRule="auto"/>
              <w:ind w:firstLine="0"/>
              <w:jc w:val="center"/>
              <w:rPr>
                <w:sz w:val="20"/>
              </w:rPr>
            </w:pPr>
            <w:r w:rsidRPr="002064E9">
              <w:rPr>
                <w:sz w:val="20"/>
              </w:rPr>
              <w:t>2.0</w:t>
            </w:r>
          </w:p>
        </w:tc>
      </w:tr>
      <w:tr w:rsidR="002064E9" w:rsidRPr="002064E9" w:rsidTr="00CF379C">
        <w:trPr>
          <w:trHeight w:val="20"/>
        </w:trPr>
        <w:tc>
          <w:tcPr>
            <w:tcW w:w="1643" w:type="pct"/>
            <w:vAlign w:val="center"/>
          </w:tcPr>
          <w:p w:rsidR="002064E9" w:rsidRPr="002064E9" w:rsidRDefault="002064E9" w:rsidP="002064E9">
            <w:pPr>
              <w:spacing w:line="240" w:lineRule="auto"/>
              <w:ind w:firstLine="0"/>
              <w:rPr>
                <w:rFonts w:eastAsia="Times New Roman"/>
                <w:sz w:val="20"/>
              </w:rPr>
            </w:pPr>
            <w:proofErr w:type="spellStart"/>
            <w:r w:rsidRPr="002064E9">
              <w:rPr>
                <w:rFonts w:eastAsia="Times New Roman"/>
                <w:sz w:val="20"/>
              </w:rPr>
              <w:t>Belarus</w:t>
            </w:r>
            <w:proofErr w:type="spellEnd"/>
          </w:p>
        </w:tc>
        <w:tc>
          <w:tcPr>
            <w:tcW w:w="1698" w:type="pct"/>
            <w:vAlign w:val="center"/>
          </w:tcPr>
          <w:p w:rsidR="002064E9" w:rsidRPr="002064E9" w:rsidRDefault="002064E9" w:rsidP="002064E9">
            <w:pPr>
              <w:spacing w:line="240" w:lineRule="auto"/>
              <w:ind w:firstLine="0"/>
              <w:jc w:val="center"/>
              <w:rPr>
                <w:sz w:val="20"/>
              </w:rPr>
            </w:pPr>
            <w:r w:rsidRPr="002064E9">
              <w:rPr>
                <w:sz w:val="20"/>
              </w:rPr>
              <w:t>–0.6</w:t>
            </w:r>
          </w:p>
        </w:tc>
        <w:tc>
          <w:tcPr>
            <w:tcW w:w="1659" w:type="pct"/>
            <w:vAlign w:val="center"/>
          </w:tcPr>
          <w:p w:rsidR="002064E9" w:rsidRPr="002064E9" w:rsidRDefault="002064E9" w:rsidP="002064E9">
            <w:pPr>
              <w:spacing w:line="240" w:lineRule="auto"/>
              <w:ind w:firstLine="0"/>
              <w:jc w:val="center"/>
              <w:rPr>
                <w:sz w:val="20"/>
              </w:rPr>
            </w:pPr>
            <w:r w:rsidRPr="002064E9">
              <w:rPr>
                <w:sz w:val="20"/>
              </w:rPr>
              <w:t>0.0</w:t>
            </w:r>
          </w:p>
        </w:tc>
      </w:tr>
      <w:tr w:rsidR="002064E9" w:rsidRPr="002064E9" w:rsidTr="00CF379C">
        <w:trPr>
          <w:trHeight w:val="148"/>
        </w:trPr>
        <w:tc>
          <w:tcPr>
            <w:tcW w:w="1643" w:type="pct"/>
            <w:vAlign w:val="center"/>
          </w:tcPr>
          <w:p w:rsidR="002064E9" w:rsidRPr="002064E9" w:rsidRDefault="002064E9" w:rsidP="002064E9">
            <w:pPr>
              <w:spacing w:line="240" w:lineRule="auto"/>
              <w:ind w:firstLine="0"/>
              <w:rPr>
                <w:rFonts w:eastAsia="Times New Roman"/>
                <w:sz w:val="20"/>
              </w:rPr>
            </w:pPr>
            <w:proofErr w:type="spellStart"/>
            <w:r w:rsidRPr="002064E9">
              <w:rPr>
                <w:rFonts w:eastAsia="Times New Roman"/>
                <w:sz w:val="20"/>
              </w:rPr>
              <w:t>Kazakhstan</w:t>
            </w:r>
            <w:proofErr w:type="spellEnd"/>
          </w:p>
        </w:tc>
        <w:tc>
          <w:tcPr>
            <w:tcW w:w="1698" w:type="pct"/>
            <w:vAlign w:val="center"/>
          </w:tcPr>
          <w:p w:rsidR="002064E9" w:rsidRPr="002064E9" w:rsidRDefault="002064E9" w:rsidP="002064E9">
            <w:pPr>
              <w:spacing w:line="240" w:lineRule="auto"/>
              <w:ind w:firstLine="0"/>
              <w:jc w:val="center"/>
              <w:rPr>
                <w:sz w:val="20"/>
              </w:rPr>
            </w:pPr>
            <w:r w:rsidRPr="002064E9">
              <w:rPr>
                <w:sz w:val="20"/>
              </w:rPr>
              <w:t>0.6</w:t>
            </w:r>
          </w:p>
        </w:tc>
        <w:tc>
          <w:tcPr>
            <w:tcW w:w="1659" w:type="pct"/>
            <w:vAlign w:val="center"/>
          </w:tcPr>
          <w:p w:rsidR="002064E9" w:rsidRPr="002064E9" w:rsidRDefault="002064E9" w:rsidP="002064E9">
            <w:pPr>
              <w:spacing w:line="240" w:lineRule="auto"/>
              <w:ind w:firstLine="0"/>
              <w:jc w:val="center"/>
              <w:rPr>
                <w:sz w:val="20"/>
              </w:rPr>
            </w:pPr>
            <w:r w:rsidRPr="002064E9">
              <w:rPr>
                <w:sz w:val="20"/>
              </w:rPr>
              <w:t>1.2</w:t>
            </w:r>
          </w:p>
        </w:tc>
      </w:tr>
      <w:tr w:rsidR="002064E9" w:rsidRPr="002064E9" w:rsidTr="00CF379C">
        <w:trPr>
          <w:trHeight w:val="60"/>
        </w:trPr>
        <w:tc>
          <w:tcPr>
            <w:tcW w:w="1643" w:type="pct"/>
            <w:vAlign w:val="center"/>
          </w:tcPr>
          <w:p w:rsidR="002064E9" w:rsidRPr="002064E9" w:rsidRDefault="002064E9" w:rsidP="002064E9">
            <w:pPr>
              <w:spacing w:line="240" w:lineRule="auto"/>
              <w:ind w:firstLine="0"/>
              <w:rPr>
                <w:rFonts w:eastAsia="Times New Roman"/>
                <w:sz w:val="20"/>
                <w:lang w:val="en-US"/>
              </w:rPr>
            </w:pPr>
            <w:r w:rsidRPr="002064E9">
              <w:rPr>
                <w:rFonts w:eastAsia="Times New Roman"/>
                <w:sz w:val="20"/>
                <w:lang w:val="en-US"/>
              </w:rPr>
              <w:t>EU</w:t>
            </w:r>
          </w:p>
        </w:tc>
        <w:tc>
          <w:tcPr>
            <w:tcW w:w="1698" w:type="pct"/>
            <w:vAlign w:val="center"/>
          </w:tcPr>
          <w:p w:rsidR="002064E9" w:rsidRPr="002064E9" w:rsidRDefault="002064E9" w:rsidP="002064E9">
            <w:pPr>
              <w:spacing w:line="240" w:lineRule="auto"/>
              <w:ind w:firstLine="0"/>
              <w:jc w:val="center"/>
              <w:rPr>
                <w:sz w:val="20"/>
              </w:rPr>
            </w:pPr>
            <w:r w:rsidRPr="002064E9">
              <w:rPr>
                <w:sz w:val="20"/>
              </w:rPr>
              <w:t>0.1</w:t>
            </w:r>
          </w:p>
        </w:tc>
        <w:tc>
          <w:tcPr>
            <w:tcW w:w="1659" w:type="pct"/>
            <w:vAlign w:val="center"/>
          </w:tcPr>
          <w:p w:rsidR="002064E9" w:rsidRPr="002064E9" w:rsidRDefault="002064E9" w:rsidP="002064E9">
            <w:pPr>
              <w:spacing w:line="240" w:lineRule="auto"/>
              <w:ind w:firstLine="0"/>
              <w:jc w:val="center"/>
              <w:rPr>
                <w:sz w:val="20"/>
              </w:rPr>
            </w:pPr>
            <w:r w:rsidRPr="002064E9">
              <w:rPr>
                <w:sz w:val="20"/>
              </w:rPr>
              <w:t>0.2</w:t>
            </w:r>
          </w:p>
        </w:tc>
      </w:tr>
    </w:tbl>
    <w:p w:rsidR="002064E9" w:rsidRPr="002064E9" w:rsidRDefault="002064E9" w:rsidP="002064E9">
      <w:pPr>
        <w:ind w:firstLine="0"/>
        <w:rPr>
          <w:sz w:val="22"/>
          <w:szCs w:val="24"/>
          <w:lang w:val="en-US"/>
        </w:rPr>
      </w:pPr>
      <w:r w:rsidRPr="002064E9">
        <w:rPr>
          <w:i/>
          <w:sz w:val="22"/>
          <w:lang w:val="en-US"/>
        </w:rPr>
        <w:t xml:space="preserve">Source: </w:t>
      </w:r>
      <w:r w:rsidRPr="002064E9">
        <w:rPr>
          <w:sz w:val="22"/>
          <w:lang w:val="en-US"/>
        </w:rPr>
        <w:t xml:space="preserve">Authors' calculations. </w:t>
      </w:r>
    </w:p>
    <w:p w:rsidR="002064E9" w:rsidRPr="002064E9" w:rsidRDefault="002064E9" w:rsidP="002064E9">
      <w:pPr>
        <w:ind w:firstLine="709"/>
        <w:rPr>
          <w:lang w:val="en-US"/>
        </w:rPr>
      </w:pPr>
      <w:r w:rsidRPr="002064E9">
        <w:rPr>
          <w:lang w:val="en-US"/>
        </w:rPr>
        <w:t>The model used allows evaluate the results in two time perspectives: short and long run. Short run in the model means that the aggregate supply of factors of production (capital and labor) in each country is fixed at the initial level. At the same time, the demand for fa</w:t>
      </w:r>
      <w:r w:rsidRPr="002064E9">
        <w:rPr>
          <w:lang w:val="en-US"/>
        </w:rPr>
        <w:t>c</w:t>
      </w:r>
      <w:r w:rsidRPr="002064E9">
        <w:rPr>
          <w:lang w:val="en-US"/>
        </w:rPr>
        <w:t>tors of production in a given country can vary from industry to industry. It is assumed that factors of production are homogeneous for all sectors of the economy and in every country the aggregate demand for each factor of production is equal to total supply of this factor. Long run in the model differs from the short only in that the supply of labor in each country remains fixed, while the supply of capital is not fixed and may change, adjusting to a new equilibrium.</w:t>
      </w:r>
    </w:p>
    <w:p w:rsidR="002064E9" w:rsidRPr="002064E9" w:rsidRDefault="002064E9" w:rsidP="002064E9">
      <w:pPr>
        <w:ind w:firstLine="709"/>
        <w:rPr>
          <w:lang w:val="en-US"/>
        </w:rPr>
      </w:pPr>
      <w:r w:rsidRPr="002064E9">
        <w:rPr>
          <w:lang w:val="en-US"/>
        </w:rPr>
        <w:t xml:space="preserve">From the table </w:t>
      </w:r>
      <w:r w:rsidRPr="002064E9">
        <w:fldChar w:fldCharType="begin"/>
      </w:r>
      <w:r w:rsidRPr="002064E9">
        <w:rPr>
          <w:lang w:val="en-US"/>
        </w:rPr>
        <w:instrText xml:space="preserve"> REF _Ref343618323 \h  \* MERGEFORMAT </w:instrText>
      </w:r>
      <w:r w:rsidRPr="002064E9">
        <w:fldChar w:fldCharType="separate"/>
      </w:r>
      <w:r w:rsidRPr="002064E9">
        <w:rPr>
          <w:lang w:val="en-US"/>
        </w:rPr>
        <w:t>3</w:t>
      </w:r>
      <w:r w:rsidRPr="002064E9">
        <w:fldChar w:fldCharType="end"/>
      </w:r>
      <w:r w:rsidRPr="002064E9">
        <w:rPr>
          <w:lang w:val="en-US"/>
        </w:rPr>
        <w:t xml:space="preserve"> it’s can be seen that as a result of the abolition of </w:t>
      </w:r>
      <w:r w:rsidR="00FB0DCE">
        <w:rPr>
          <w:lang w:val="en-US"/>
        </w:rPr>
        <w:t>imports</w:t>
      </w:r>
      <w:r w:rsidRPr="002064E9">
        <w:rPr>
          <w:lang w:val="en-US"/>
        </w:rPr>
        <w:t xml:space="preserve"> duties Russian GDP in the short term will increase by 0.8%, GDP of Kazakhstan by 0.6%, and the EU's GDP by 0.1%. In absolute terms, the Russian welfare will increase by about $15 bi</w:t>
      </w:r>
      <w:r w:rsidRPr="002064E9">
        <w:rPr>
          <w:lang w:val="en-US"/>
        </w:rPr>
        <w:t>l</w:t>
      </w:r>
      <w:r w:rsidRPr="002064E9">
        <w:rPr>
          <w:lang w:val="en-US"/>
        </w:rPr>
        <w:t>lion, the welfare of Kazakhstan by about $1 billion, the EU’s welfare by about $15 billion. In the short term, the Belarusian GDP will fall by 0.6%, which in absolute terms is about $400 million.</w:t>
      </w:r>
    </w:p>
    <w:p w:rsidR="002064E9" w:rsidRPr="002064E9" w:rsidRDefault="002064E9" w:rsidP="002064E9">
      <w:pPr>
        <w:ind w:firstLine="709"/>
        <w:rPr>
          <w:lang w:val="en-US"/>
        </w:rPr>
      </w:pPr>
      <w:r w:rsidRPr="002064E9">
        <w:rPr>
          <w:lang w:val="en-US"/>
        </w:rPr>
        <w:lastRenderedPageBreak/>
        <w:t>In the long run, which allows for the accumulation of capital, the GDP of Russia, K</w:t>
      </w:r>
      <w:r w:rsidRPr="002064E9">
        <w:rPr>
          <w:lang w:val="en-US"/>
        </w:rPr>
        <w:t>a</w:t>
      </w:r>
      <w:r w:rsidRPr="002064E9">
        <w:rPr>
          <w:lang w:val="en-US"/>
        </w:rPr>
        <w:t>zakhstan and the EU will grow more than in the short run (by 2.0%, 1.2% and 0.2% respe</w:t>
      </w:r>
      <w:r w:rsidRPr="002064E9">
        <w:rPr>
          <w:lang w:val="en-US"/>
        </w:rPr>
        <w:t>c</w:t>
      </w:r>
      <w:r w:rsidRPr="002064E9">
        <w:rPr>
          <w:lang w:val="en-US"/>
        </w:rPr>
        <w:t xml:space="preserve">tively). </w:t>
      </w:r>
      <w:r w:rsidR="002144E4">
        <w:rPr>
          <w:lang w:val="en-US"/>
        </w:rPr>
        <w:t>The w</w:t>
      </w:r>
      <w:r w:rsidRPr="002064E9">
        <w:rPr>
          <w:lang w:val="en-US"/>
        </w:rPr>
        <w:t xml:space="preserve">elfare </w:t>
      </w:r>
      <w:r w:rsidR="002144E4">
        <w:rPr>
          <w:lang w:val="en-US"/>
        </w:rPr>
        <w:t>of</w:t>
      </w:r>
      <w:r w:rsidRPr="002064E9">
        <w:rPr>
          <w:lang w:val="en-US"/>
        </w:rPr>
        <w:t xml:space="preserve"> the RF </w:t>
      </w:r>
      <w:r w:rsidR="002144E4">
        <w:rPr>
          <w:lang w:val="en-US"/>
        </w:rPr>
        <w:t>is</w:t>
      </w:r>
      <w:r w:rsidRPr="002064E9">
        <w:rPr>
          <w:lang w:val="en-US"/>
        </w:rPr>
        <w:t xml:space="preserve"> </w:t>
      </w:r>
      <w:r w:rsidR="002144E4">
        <w:rPr>
          <w:lang w:val="en-US"/>
        </w:rPr>
        <w:t>$</w:t>
      </w:r>
      <w:r w:rsidRPr="002064E9">
        <w:rPr>
          <w:lang w:val="en-US"/>
        </w:rPr>
        <w:t>40 billio</w:t>
      </w:r>
      <w:r w:rsidR="002144E4">
        <w:rPr>
          <w:lang w:val="en-US"/>
        </w:rPr>
        <w:t xml:space="preserve">n, </w:t>
      </w:r>
      <w:r w:rsidRPr="002064E9">
        <w:rPr>
          <w:lang w:val="en-US"/>
        </w:rPr>
        <w:t xml:space="preserve">for Kazakhstan </w:t>
      </w:r>
      <w:r w:rsidR="002144E4">
        <w:rPr>
          <w:lang w:val="en-US"/>
        </w:rPr>
        <w:t>is</w:t>
      </w:r>
      <w:r w:rsidRPr="002064E9">
        <w:rPr>
          <w:lang w:val="en-US"/>
        </w:rPr>
        <w:t xml:space="preserve"> $2 billion</w:t>
      </w:r>
      <w:r w:rsidR="002144E4">
        <w:rPr>
          <w:lang w:val="en-US"/>
        </w:rPr>
        <w:t>, for the EU is</w:t>
      </w:r>
      <w:r w:rsidRPr="002064E9">
        <w:rPr>
          <w:lang w:val="en-US"/>
        </w:rPr>
        <w:t xml:space="preserve"> $30 billion</w:t>
      </w:r>
      <w:r w:rsidR="002144E4">
        <w:rPr>
          <w:lang w:val="en-US"/>
        </w:rPr>
        <w:t>.</w:t>
      </w:r>
      <w:r w:rsidRPr="002064E9">
        <w:rPr>
          <w:lang w:val="en-US"/>
        </w:rPr>
        <w:t xml:space="preserve"> Belarusian GDP in the long term will reach a level that took place prior to an FTA.</w:t>
      </w:r>
    </w:p>
    <w:p w:rsidR="002064E9" w:rsidRPr="002064E9" w:rsidRDefault="002064E9" w:rsidP="002064E9">
      <w:pPr>
        <w:keepNext/>
        <w:ind w:firstLine="0"/>
        <w:rPr>
          <w:smallCaps/>
          <w:szCs w:val="26"/>
          <w:lang w:val="en-US"/>
        </w:rPr>
      </w:pPr>
      <w:r w:rsidRPr="002064E9">
        <w:rPr>
          <w:i/>
          <w:smallCaps/>
          <w:szCs w:val="26"/>
          <w:lang w:val="en-US"/>
        </w:rPr>
        <w:t>Table</w:t>
      </w:r>
      <w:r w:rsidRPr="002064E9">
        <w:rPr>
          <w:smallCaps/>
          <w:szCs w:val="26"/>
          <w:lang w:val="en-US"/>
        </w:rPr>
        <w:t xml:space="preserve"> </w:t>
      </w:r>
      <w:r w:rsidRPr="002064E9">
        <w:rPr>
          <w:smallCaps/>
          <w:szCs w:val="26"/>
        </w:rPr>
        <w:fldChar w:fldCharType="begin"/>
      </w:r>
      <w:r w:rsidRPr="002064E9">
        <w:rPr>
          <w:smallCaps/>
          <w:szCs w:val="26"/>
          <w:lang w:val="en-US"/>
        </w:rPr>
        <w:instrText xml:space="preserve"> SEQ </w:instrText>
      </w:r>
      <w:r w:rsidRPr="002064E9">
        <w:rPr>
          <w:smallCaps/>
          <w:szCs w:val="26"/>
        </w:rPr>
        <w:instrText>Таблица</w:instrText>
      </w:r>
      <w:r w:rsidRPr="002064E9">
        <w:rPr>
          <w:smallCaps/>
          <w:szCs w:val="26"/>
          <w:lang w:val="en-US"/>
        </w:rPr>
        <w:instrText xml:space="preserve"> \* ARABIC </w:instrText>
      </w:r>
      <w:r w:rsidRPr="002064E9">
        <w:rPr>
          <w:smallCaps/>
          <w:szCs w:val="26"/>
        </w:rPr>
        <w:fldChar w:fldCharType="separate"/>
      </w:r>
      <w:bookmarkStart w:id="1" w:name="_Ref343684349"/>
      <w:r w:rsidRPr="002064E9">
        <w:rPr>
          <w:smallCaps/>
          <w:noProof/>
          <w:szCs w:val="26"/>
          <w:lang w:val="en-US"/>
        </w:rPr>
        <w:t>4</w:t>
      </w:r>
      <w:bookmarkEnd w:id="1"/>
      <w:r w:rsidRPr="002064E9">
        <w:rPr>
          <w:smallCaps/>
          <w:szCs w:val="26"/>
        </w:rPr>
        <w:fldChar w:fldCharType="end"/>
      </w:r>
    </w:p>
    <w:p w:rsidR="002064E9" w:rsidRPr="002064E9" w:rsidRDefault="002064E9" w:rsidP="002064E9">
      <w:pPr>
        <w:keepNext/>
        <w:widowControl w:val="0"/>
        <w:autoSpaceDE w:val="0"/>
        <w:autoSpaceDN w:val="0"/>
        <w:adjustRightInd w:val="0"/>
        <w:spacing w:after="120" w:line="240" w:lineRule="auto"/>
        <w:ind w:firstLine="0"/>
        <w:jc w:val="center"/>
        <w:rPr>
          <w:b/>
          <w:sz w:val="24"/>
          <w:szCs w:val="24"/>
          <w:lang w:val="en-US"/>
        </w:rPr>
      </w:pPr>
      <w:r w:rsidRPr="002064E9">
        <w:rPr>
          <w:b/>
          <w:sz w:val="24"/>
          <w:szCs w:val="24"/>
          <w:lang w:val="en-US"/>
        </w:rPr>
        <w:t xml:space="preserve">Impact of the FTA on </w:t>
      </w:r>
      <w:r w:rsidR="00FB0DCE">
        <w:rPr>
          <w:b/>
          <w:sz w:val="24"/>
          <w:szCs w:val="24"/>
          <w:lang w:val="en-US"/>
        </w:rPr>
        <w:t>Exports</w:t>
      </w:r>
      <w:r w:rsidRPr="002064E9">
        <w:rPr>
          <w:b/>
          <w:sz w:val="24"/>
          <w:szCs w:val="24"/>
          <w:lang w:val="en-US"/>
        </w:rPr>
        <w:t xml:space="preserve"> (in %)</w:t>
      </w:r>
    </w:p>
    <w:tbl>
      <w:tblPr>
        <w:tblStyle w:val="15"/>
        <w:tblW w:w="0" w:type="auto"/>
        <w:tblInd w:w="108" w:type="dxa"/>
        <w:tblLook w:val="04A0" w:firstRow="1" w:lastRow="0" w:firstColumn="1" w:lastColumn="0" w:noHBand="0" w:noVBand="1"/>
      </w:tblPr>
      <w:tblGrid>
        <w:gridCol w:w="2308"/>
        <w:gridCol w:w="1163"/>
        <w:gridCol w:w="1157"/>
        <w:gridCol w:w="1149"/>
        <w:gridCol w:w="1146"/>
        <w:gridCol w:w="1149"/>
        <w:gridCol w:w="1147"/>
      </w:tblGrid>
      <w:tr w:rsidR="002064E9" w:rsidRPr="002064E9" w:rsidTr="00CF379C">
        <w:trPr>
          <w:trHeight w:val="47"/>
        </w:trPr>
        <w:tc>
          <w:tcPr>
            <w:tcW w:w="2308" w:type="dxa"/>
            <w:tcBorders>
              <w:top w:val="thinThickMediumGap" w:sz="18" w:space="0" w:color="auto"/>
              <w:right w:val="single" w:sz="18" w:space="0" w:color="auto"/>
            </w:tcBorders>
          </w:tcPr>
          <w:p w:rsidR="002064E9" w:rsidRPr="002064E9" w:rsidRDefault="002064E9" w:rsidP="002064E9">
            <w:pPr>
              <w:spacing w:line="240" w:lineRule="auto"/>
              <w:ind w:firstLine="0"/>
              <w:rPr>
                <w:sz w:val="22"/>
                <w:lang w:val="en-US"/>
              </w:rPr>
            </w:pPr>
          </w:p>
        </w:tc>
        <w:tc>
          <w:tcPr>
            <w:tcW w:w="2320" w:type="dxa"/>
            <w:gridSpan w:val="2"/>
            <w:tcBorders>
              <w:top w:val="thinThickMediumGap" w:sz="18" w:space="0" w:color="auto"/>
              <w:left w:val="single" w:sz="18" w:space="0" w:color="auto"/>
              <w:right w:val="single" w:sz="18" w:space="0" w:color="auto"/>
            </w:tcBorders>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b/>
                <w:sz w:val="20"/>
                <w:lang w:val="en-US" w:eastAsia="en-US"/>
              </w:rPr>
              <w:t xml:space="preserve">CU’s </w:t>
            </w:r>
            <w:proofErr w:type="spellStart"/>
            <w:r w:rsidR="00FB0DCE">
              <w:rPr>
                <w:rFonts w:eastAsia="Times New Roman"/>
                <w:b/>
                <w:sz w:val="20"/>
                <w:lang w:eastAsia="en-US"/>
              </w:rPr>
              <w:t>Exports</w:t>
            </w:r>
            <w:proofErr w:type="spellEnd"/>
          </w:p>
        </w:tc>
        <w:tc>
          <w:tcPr>
            <w:tcW w:w="2295" w:type="dxa"/>
            <w:gridSpan w:val="2"/>
            <w:tcBorders>
              <w:top w:val="thinThickMediumGap" w:sz="18" w:space="0" w:color="auto"/>
              <w:left w:val="single" w:sz="18" w:space="0" w:color="auto"/>
              <w:right w:val="single" w:sz="18" w:space="0" w:color="auto"/>
            </w:tcBorders>
            <w:vAlign w:val="center"/>
          </w:tcPr>
          <w:p w:rsidR="002064E9" w:rsidRPr="002064E9" w:rsidRDefault="002064E9" w:rsidP="002064E9">
            <w:pPr>
              <w:spacing w:line="240" w:lineRule="auto"/>
              <w:ind w:firstLine="0"/>
              <w:jc w:val="center"/>
              <w:rPr>
                <w:rFonts w:eastAsia="Times New Roman"/>
                <w:b/>
                <w:sz w:val="20"/>
                <w:lang w:val="en-US" w:eastAsia="en-US"/>
              </w:rPr>
            </w:pPr>
            <w:r w:rsidRPr="002064E9">
              <w:rPr>
                <w:rFonts w:eastAsia="Times New Roman"/>
                <w:b/>
                <w:sz w:val="20"/>
                <w:lang w:val="en-US" w:eastAsia="en-US"/>
              </w:rPr>
              <w:t xml:space="preserve">CU’s </w:t>
            </w:r>
            <w:r w:rsidR="00FB0DCE">
              <w:rPr>
                <w:rFonts w:eastAsia="Times New Roman"/>
                <w:b/>
                <w:sz w:val="20"/>
                <w:lang w:val="en-US" w:eastAsia="en-US"/>
              </w:rPr>
              <w:t>Exports</w:t>
            </w:r>
            <w:r w:rsidRPr="002064E9">
              <w:rPr>
                <w:rFonts w:eastAsia="Times New Roman"/>
                <w:b/>
                <w:sz w:val="20"/>
                <w:lang w:val="en-US" w:eastAsia="en-US"/>
              </w:rPr>
              <w:t xml:space="preserve"> to the EU</w:t>
            </w:r>
          </w:p>
        </w:tc>
        <w:tc>
          <w:tcPr>
            <w:tcW w:w="2296" w:type="dxa"/>
            <w:gridSpan w:val="2"/>
            <w:tcBorders>
              <w:top w:val="thinThickMediumGap" w:sz="18" w:space="0" w:color="auto"/>
              <w:left w:val="single" w:sz="18" w:space="0" w:color="auto"/>
              <w:right w:val="single" w:sz="18" w:space="0" w:color="auto"/>
            </w:tcBorders>
            <w:vAlign w:val="center"/>
          </w:tcPr>
          <w:p w:rsidR="002064E9" w:rsidRPr="002064E9" w:rsidRDefault="002064E9" w:rsidP="002064E9">
            <w:pPr>
              <w:spacing w:line="240" w:lineRule="auto"/>
              <w:ind w:firstLine="0"/>
              <w:jc w:val="center"/>
              <w:rPr>
                <w:rFonts w:eastAsia="Times New Roman"/>
                <w:b/>
                <w:sz w:val="20"/>
                <w:lang w:val="en-US" w:eastAsia="en-US"/>
              </w:rPr>
            </w:pPr>
            <w:r w:rsidRPr="002064E9">
              <w:rPr>
                <w:rFonts w:eastAsia="Times New Roman"/>
                <w:b/>
                <w:sz w:val="20"/>
                <w:lang w:val="en-US" w:eastAsia="en-US"/>
              </w:rPr>
              <w:t xml:space="preserve">CU’s </w:t>
            </w:r>
            <w:r w:rsidR="00FB0DCE">
              <w:rPr>
                <w:rFonts w:eastAsia="Times New Roman"/>
                <w:b/>
                <w:sz w:val="20"/>
                <w:lang w:val="en-US" w:eastAsia="en-US"/>
              </w:rPr>
              <w:t>Exports</w:t>
            </w:r>
            <w:r w:rsidRPr="002064E9">
              <w:rPr>
                <w:rFonts w:eastAsia="Times New Roman"/>
                <w:b/>
                <w:sz w:val="20"/>
                <w:lang w:val="en-US" w:eastAsia="en-US"/>
              </w:rPr>
              <w:t xml:space="preserve"> to the rest of the world</w:t>
            </w:r>
          </w:p>
        </w:tc>
      </w:tr>
      <w:tr w:rsidR="002064E9" w:rsidRPr="002064E9" w:rsidTr="00CF379C">
        <w:tc>
          <w:tcPr>
            <w:tcW w:w="2308" w:type="dxa"/>
            <w:tcBorders>
              <w:right w:val="single" w:sz="18" w:space="0" w:color="auto"/>
            </w:tcBorders>
            <w:vAlign w:val="center"/>
          </w:tcPr>
          <w:p w:rsidR="002064E9" w:rsidRPr="002064E9" w:rsidRDefault="002064E9" w:rsidP="002064E9">
            <w:pPr>
              <w:spacing w:line="240" w:lineRule="auto"/>
              <w:ind w:firstLine="0"/>
              <w:rPr>
                <w:rFonts w:eastAsia="Times New Roman"/>
                <w:b/>
                <w:sz w:val="20"/>
                <w:lang w:val="en-US"/>
              </w:rPr>
            </w:pPr>
            <w:r w:rsidRPr="002064E9">
              <w:rPr>
                <w:rFonts w:eastAsia="Times New Roman"/>
                <w:b/>
                <w:sz w:val="20"/>
                <w:lang w:val="en-US"/>
              </w:rPr>
              <w:t>Region</w:t>
            </w:r>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SR</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LR</w:t>
            </w:r>
          </w:p>
        </w:tc>
        <w:tc>
          <w:tcPr>
            <w:tcW w:w="1149" w:type="dxa"/>
            <w:tcBorders>
              <w:lef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SR</w:t>
            </w:r>
          </w:p>
        </w:tc>
        <w:tc>
          <w:tcPr>
            <w:tcW w:w="1146"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SR</w:t>
            </w:r>
          </w:p>
        </w:tc>
        <w:tc>
          <w:tcPr>
            <w:tcW w:w="1149" w:type="dxa"/>
            <w:tcBorders>
              <w:lef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LR</w:t>
            </w:r>
          </w:p>
        </w:tc>
        <w:tc>
          <w:tcPr>
            <w:tcW w:w="114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SR</w:t>
            </w:r>
          </w:p>
        </w:tc>
      </w:tr>
      <w:tr w:rsidR="002064E9" w:rsidRPr="002064E9" w:rsidTr="00CF379C">
        <w:tc>
          <w:tcPr>
            <w:tcW w:w="2308" w:type="dxa"/>
            <w:tcBorders>
              <w:right w:val="single" w:sz="18" w:space="0" w:color="auto"/>
            </w:tcBorders>
            <w:vAlign w:val="center"/>
          </w:tcPr>
          <w:p w:rsidR="002064E9" w:rsidRPr="002064E9" w:rsidRDefault="002064E9" w:rsidP="002064E9">
            <w:pPr>
              <w:spacing w:line="240" w:lineRule="auto"/>
              <w:ind w:firstLine="0"/>
              <w:rPr>
                <w:rFonts w:eastAsia="Times New Roman"/>
                <w:sz w:val="20"/>
                <w:lang w:val="en-US"/>
              </w:rPr>
            </w:pPr>
            <w:r w:rsidRPr="002064E9">
              <w:rPr>
                <w:rFonts w:eastAsia="Times New Roman"/>
                <w:sz w:val="20"/>
                <w:lang w:val="en-US"/>
              </w:rPr>
              <w:t>Russia</w:t>
            </w:r>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1.8</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3.1</w:t>
            </w:r>
          </w:p>
        </w:tc>
        <w:tc>
          <w:tcPr>
            <w:tcW w:w="1149"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2.2</w:t>
            </w:r>
          </w:p>
        </w:tc>
        <w:tc>
          <w:tcPr>
            <w:tcW w:w="1146"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3.6</w:t>
            </w:r>
          </w:p>
        </w:tc>
        <w:tc>
          <w:tcPr>
            <w:tcW w:w="1149"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2.0</w:t>
            </w:r>
          </w:p>
        </w:tc>
        <w:tc>
          <w:tcPr>
            <w:tcW w:w="114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3.1</w:t>
            </w:r>
          </w:p>
        </w:tc>
      </w:tr>
      <w:tr w:rsidR="002064E9" w:rsidRPr="002064E9" w:rsidTr="00CF379C">
        <w:tc>
          <w:tcPr>
            <w:tcW w:w="2308" w:type="dxa"/>
            <w:tcBorders>
              <w:right w:val="single" w:sz="18" w:space="0" w:color="auto"/>
            </w:tcBorders>
            <w:vAlign w:val="center"/>
          </w:tcPr>
          <w:p w:rsidR="002064E9" w:rsidRPr="002064E9" w:rsidRDefault="002064E9" w:rsidP="002064E9">
            <w:pPr>
              <w:spacing w:line="240" w:lineRule="auto"/>
              <w:ind w:firstLine="0"/>
              <w:rPr>
                <w:rFonts w:eastAsia="Times New Roman"/>
                <w:sz w:val="20"/>
              </w:rPr>
            </w:pPr>
            <w:proofErr w:type="spellStart"/>
            <w:r w:rsidRPr="002064E9">
              <w:rPr>
                <w:rFonts w:eastAsia="Times New Roman"/>
                <w:sz w:val="20"/>
              </w:rPr>
              <w:t>Belarus</w:t>
            </w:r>
            <w:proofErr w:type="spellEnd"/>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2.4</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3.1</w:t>
            </w:r>
          </w:p>
        </w:tc>
        <w:tc>
          <w:tcPr>
            <w:tcW w:w="1149"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3.6</w:t>
            </w:r>
          </w:p>
        </w:tc>
        <w:tc>
          <w:tcPr>
            <w:tcW w:w="1146"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4.3</w:t>
            </w:r>
          </w:p>
        </w:tc>
        <w:tc>
          <w:tcPr>
            <w:tcW w:w="1149"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3.0</w:t>
            </w:r>
          </w:p>
        </w:tc>
        <w:tc>
          <w:tcPr>
            <w:tcW w:w="114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3.4</w:t>
            </w:r>
          </w:p>
        </w:tc>
      </w:tr>
      <w:tr w:rsidR="002064E9" w:rsidRPr="002064E9" w:rsidTr="00CF379C">
        <w:tc>
          <w:tcPr>
            <w:tcW w:w="2308" w:type="dxa"/>
            <w:tcBorders>
              <w:right w:val="single" w:sz="18" w:space="0" w:color="auto"/>
            </w:tcBorders>
            <w:vAlign w:val="center"/>
          </w:tcPr>
          <w:p w:rsidR="002064E9" w:rsidRPr="002064E9" w:rsidRDefault="002064E9" w:rsidP="002064E9">
            <w:pPr>
              <w:spacing w:line="240" w:lineRule="auto"/>
              <w:ind w:firstLine="0"/>
              <w:rPr>
                <w:rFonts w:eastAsia="Times New Roman"/>
                <w:sz w:val="20"/>
              </w:rPr>
            </w:pPr>
            <w:proofErr w:type="spellStart"/>
            <w:r w:rsidRPr="002064E9">
              <w:rPr>
                <w:rFonts w:eastAsia="Times New Roman"/>
                <w:sz w:val="20"/>
              </w:rPr>
              <w:t>Kazakhstan</w:t>
            </w:r>
            <w:proofErr w:type="spellEnd"/>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0.7</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1.4</w:t>
            </w:r>
          </w:p>
        </w:tc>
        <w:tc>
          <w:tcPr>
            <w:tcW w:w="1149"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1.2</w:t>
            </w:r>
          </w:p>
        </w:tc>
        <w:tc>
          <w:tcPr>
            <w:tcW w:w="1146"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1.8</w:t>
            </w:r>
          </w:p>
        </w:tc>
        <w:tc>
          <w:tcPr>
            <w:tcW w:w="1149"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1.0</w:t>
            </w:r>
          </w:p>
        </w:tc>
        <w:tc>
          <w:tcPr>
            <w:tcW w:w="114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1.7</w:t>
            </w:r>
          </w:p>
        </w:tc>
      </w:tr>
      <w:tr w:rsidR="002064E9" w:rsidRPr="002064E9" w:rsidTr="00CF379C">
        <w:tc>
          <w:tcPr>
            <w:tcW w:w="2308" w:type="dxa"/>
            <w:tcBorders>
              <w:right w:val="single" w:sz="18" w:space="0" w:color="auto"/>
            </w:tcBorders>
            <w:vAlign w:val="center"/>
          </w:tcPr>
          <w:p w:rsidR="002064E9" w:rsidRPr="002064E9" w:rsidRDefault="002064E9" w:rsidP="002064E9">
            <w:pPr>
              <w:spacing w:line="240" w:lineRule="auto"/>
              <w:ind w:firstLine="0"/>
              <w:rPr>
                <w:rFonts w:eastAsia="Times New Roman"/>
                <w:sz w:val="20"/>
                <w:lang w:val="en-US"/>
              </w:rPr>
            </w:pPr>
            <w:r w:rsidRPr="002064E9">
              <w:rPr>
                <w:rFonts w:eastAsia="Times New Roman"/>
                <w:sz w:val="20"/>
                <w:lang w:val="en-US"/>
              </w:rPr>
              <w:t>EU</w:t>
            </w:r>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0.1</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0.2</w:t>
            </w:r>
          </w:p>
        </w:tc>
        <w:tc>
          <w:tcPr>
            <w:tcW w:w="1149" w:type="dxa"/>
            <w:tcBorders>
              <w:left w:val="single" w:sz="18" w:space="0" w:color="auto"/>
            </w:tcBorders>
            <w:vAlign w:val="bottom"/>
          </w:tcPr>
          <w:p w:rsidR="002064E9" w:rsidRPr="002064E9" w:rsidRDefault="002064E9" w:rsidP="002064E9">
            <w:pPr>
              <w:spacing w:line="240" w:lineRule="auto"/>
              <w:ind w:firstLine="0"/>
              <w:jc w:val="left"/>
              <w:rPr>
                <w:rFonts w:eastAsia="Times New Roman"/>
                <w:sz w:val="20"/>
              </w:rPr>
            </w:pPr>
            <w:r w:rsidRPr="002064E9">
              <w:rPr>
                <w:rFonts w:eastAsia="Times New Roman"/>
                <w:sz w:val="20"/>
              </w:rPr>
              <w:t> </w:t>
            </w:r>
          </w:p>
        </w:tc>
        <w:tc>
          <w:tcPr>
            <w:tcW w:w="1146" w:type="dxa"/>
            <w:tcBorders>
              <w:right w:val="single" w:sz="18" w:space="0" w:color="auto"/>
            </w:tcBorders>
            <w:vAlign w:val="bottom"/>
          </w:tcPr>
          <w:p w:rsidR="002064E9" w:rsidRPr="002064E9" w:rsidRDefault="002064E9" w:rsidP="002064E9">
            <w:pPr>
              <w:spacing w:line="240" w:lineRule="auto"/>
              <w:ind w:firstLine="0"/>
              <w:jc w:val="left"/>
              <w:rPr>
                <w:rFonts w:eastAsia="Times New Roman"/>
                <w:sz w:val="20"/>
              </w:rPr>
            </w:pPr>
            <w:r w:rsidRPr="002064E9">
              <w:rPr>
                <w:rFonts w:eastAsia="Times New Roman"/>
                <w:sz w:val="20"/>
              </w:rPr>
              <w:t> </w:t>
            </w:r>
          </w:p>
        </w:tc>
        <w:tc>
          <w:tcPr>
            <w:tcW w:w="1149" w:type="dxa"/>
            <w:tcBorders>
              <w:left w:val="single" w:sz="18" w:space="0" w:color="auto"/>
            </w:tcBorders>
            <w:vAlign w:val="bottom"/>
          </w:tcPr>
          <w:p w:rsidR="002064E9" w:rsidRPr="002064E9" w:rsidRDefault="002064E9" w:rsidP="002064E9">
            <w:pPr>
              <w:spacing w:line="240" w:lineRule="auto"/>
              <w:ind w:firstLine="0"/>
              <w:jc w:val="left"/>
              <w:rPr>
                <w:rFonts w:eastAsia="Times New Roman"/>
                <w:sz w:val="20"/>
              </w:rPr>
            </w:pPr>
            <w:r w:rsidRPr="002064E9">
              <w:rPr>
                <w:rFonts w:eastAsia="Times New Roman"/>
                <w:sz w:val="20"/>
              </w:rPr>
              <w:t> </w:t>
            </w:r>
          </w:p>
        </w:tc>
        <w:tc>
          <w:tcPr>
            <w:tcW w:w="1147" w:type="dxa"/>
            <w:tcBorders>
              <w:right w:val="single" w:sz="18" w:space="0" w:color="auto"/>
            </w:tcBorders>
            <w:vAlign w:val="bottom"/>
          </w:tcPr>
          <w:p w:rsidR="002064E9" w:rsidRPr="002064E9" w:rsidRDefault="002064E9" w:rsidP="002064E9">
            <w:pPr>
              <w:spacing w:line="240" w:lineRule="auto"/>
              <w:ind w:firstLine="0"/>
              <w:jc w:val="left"/>
              <w:rPr>
                <w:rFonts w:eastAsia="Times New Roman"/>
                <w:sz w:val="20"/>
              </w:rPr>
            </w:pPr>
            <w:r w:rsidRPr="002064E9">
              <w:rPr>
                <w:rFonts w:eastAsia="Times New Roman"/>
                <w:sz w:val="20"/>
              </w:rPr>
              <w:t> </w:t>
            </w:r>
          </w:p>
        </w:tc>
      </w:tr>
    </w:tbl>
    <w:p w:rsidR="002064E9" w:rsidRPr="002064E9" w:rsidRDefault="002064E9" w:rsidP="002064E9">
      <w:pPr>
        <w:ind w:firstLine="0"/>
        <w:rPr>
          <w:sz w:val="22"/>
          <w:szCs w:val="24"/>
          <w:lang w:val="en-US"/>
        </w:rPr>
      </w:pPr>
      <w:r w:rsidRPr="002064E9">
        <w:rPr>
          <w:i/>
          <w:sz w:val="22"/>
          <w:lang w:val="en-US"/>
        </w:rPr>
        <w:t xml:space="preserve">Source: </w:t>
      </w:r>
      <w:r w:rsidRPr="002064E9">
        <w:rPr>
          <w:sz w:val="22"/>
          <w:lang w:val="en-US"/>
        </w:rPr>
        <w:t>Authors' calculations. SR, LR – short run, long run respectively</w:t>
      </w:r>
      <w:r w:rsidRPr="002064E9">
        <w:rPr>
          <w:sz w:val="22"/>
          <w:szCs w:val="24"/>
          <w:lang w:val="en-US"/>
        </w:rPr>
        <w:t>.</w:t>
      </w:r>
    </w:p>
    <w:p w:rsidR="002064E9" w:rsidRPr="002064E9" w:rsidRDefault="002064E9" w:rsidP="002064E9">
      <w:pPr>
        <w:ind w:firstLine="709"/>
        <w:rPr>
          <w:lang w:val="en-US"/>
        </w:rPr>
      </w:pPr>
      <w:r w:rsidRPr="002064E9">
        <w:rPr>
          <w:lang w:val="en-US"/>
        </w:rPr>
        <w:t xml:space="preserve">Table </w:t>
      </w:r>
      <w:r w:rsidRPr="002064E9">
        <w:fldChar w:fldCharType="begin"/>
      </w:r>
      <w:r w:rsidRPr="002064E9">
        <w:rPr>
          <w:lang w:val="en-US"/>
        </w:rPr>
        <w:instrText xml:space="preserve"> REF _Ref343684349 \h  \* MERGEFORMAT </w:instrText>
      </w:r>
      <w:r w:rsidRPr="002064E9">
        <w:fldChar w:fldCharType="separate"/>
      </w:r>
      <w:r w:rsidRPr="002064E9">
        <w:rPr>
          <w:lang w:val="en-US"/>
        </w:rPr>
        <w:t>4</w:t>
      </w:r>
      <w:r w:rsidRPr="002064E9">
        <w:fldChar w:fldCharType="end"/>
      </w:r>
      <w:r w:rsidRPr="002064E9">
        <w:rPr>
          <w:lang w:val="en-US"/>
        </w:rPr>
        <w:t xml:space="preserve"> presents results of model of </w:t>
      </w:r>
      <w:r w:rsidR="00FB0DCE">
        <w:rPr>
          <w:lang w:val="en-US"/>
        </w:rPr>
        <w:t>exports</w:t>
      </w:r>
      <w:r w:rsidRPr="002064E9">
        <w:rPr>
          <w:lang w:val="en-US"/>
        </w:rPr>
        <w:t xml:space="preserve"> changes for FTA participants. Russian exports in the short term will increase by 1.8% and exports of Belarus - by 2.4%, exports of Kazakhstan – by 0.7%, the EU’s exports – by 0.1%. In the long term Russians exports will grow a little more than in the short term </w:t>
      </w:r>
      <w:r w:rsidR="00CF379C">
        <w:rPr>
          <w:lang w:val="en-US"/>
        </w:rPr>
        <w:t>–</w:t>
      </w:r>
      <w:r w:rsidRPr="002064E9">
        <w:rPr>
          <w:lang w:val="en-US"/>
        </w:rPr>
        <w:t xml:space="preserve"> by 3.1%. Belarus exports in the long term will increase by 3.1%, Kazakhstan’s exports – by 1.4%, the EU’s exports – by 0.2%. The i</w:t>
      </w:r>
      <w:r w:rsidRPr="002064E9">
        <w:rPr>
          <w:lang w:val="en-US"/>
        </w:rPr>
        <w:t>n</w:t>
      </w:r>
      <w:r w:rsidRPr="002064E9">
        <w:rPr>
          <w:lang w:val="en-US"/>
        </w:rPr>
        <w:t xml:space="preserve">crease of exports of the CU is due to the growth of exports of these countries in the EU and in countries outside the EU. The table also shows the results of change in exports from the CU to the EU and the rest of the world respectively. It can be seen that both indicators will increase as a result of the abolition of </w:t>
      </w:r>
      <w:r w:rsidR="00FB0DCE">
        <w:rPr>
          <w:lang w:val="en-US"/>
        </w:rPr>
        <w:t>imports</w:t>
      </w:r>
      <w:r w:rsidRPr="002064E9">
        <w:rPr>
          <w:lang w:val="en-US"/>
        </w:rPr>
        <w:t xml:space="preserve"> duties. Russian exports to the EU will i</w:t>
      </w:r>
      <w:r w:rsidRPr="002064E9">
        <w:rPr>
          <w:lang w:val="en-US"/>
        </w:rPr>
        <w:t>n</w:t>
      </w:r>
      <w:r w:rsidRPr="002064E9">
        <w:rPr>
          <w:lang w:val="en-US"/>
        </w:rPr>
        <w:t>crease by 2.2% in the short run and by 3.6% in the long term.</w:t>
      </w:r>
    </w:p>
    <w:p w:rsidR="002064E9" w:rsidRPr="002064E9" w:rsidRDefault="002064E9" w:rsidP="002064E9">
      <w:pPr>
        <w:keepNext/>
        <w:ind w:firstLine="0"/>
        <w:rPr>
          <w:smallCaps/>
          <w:szCs w:val="26"/>
          <w:lang w:val="en-US"/>
        </w:rPr>
      </w:pPr>
      <w:r w:rsidRPr="002064E9">
        <w:rPr>
          <w:i/>
          <w:smallCaps/>
          <w:szCs w:val="26"/>
          <w:lang w:val="en-US"/>
        </w:rPr>
        <w:t>Table</w:t>
      </w:r>
      <w:r w:rsidRPr="002064E9">
        <w:rPr>
          <w:smallCaps/>
          <w:szCs w:val="26"/>
          <w:lang w:val="en-US"/>
        </w:rPr>
        <w:t xml:space="preserve"> </w:t>
      </w:r>
      <w:r w:rsidRPr="002064E9">
        <w:rPr>
          <w:smallCaps/>
          <w:szCs w:val="26"/>
        </w:rPr>
        <w:fldChar w:fldCharType="begin"/>
      </w:r>
      <w:r w:rsidRPr="002064E9">
        <w:rPr>
          <w:smallCaps/>
          <w:szCs w:val="26"/>
          <w:lang w:val="en-US"/>
        </w:rPr>
        <w:instrText xml:space="preserve"> SEQ </w:instrText>
      </w:r>
      <w:r w:rsidRPr="002064E9">
        <w:rPr>
          <w:smallCaps/>
          <w:szCs w:val="26"/>
        </w:rPr>
        <w:instrText>Таблица</w:instrText>
      </w:r>
      <w:r w:rsidRPr="002064E9">
        <w:rPr>
          <w:smallCaps/>
          <w:szCs w:val="26"/>
          <w:lang w:val="en-US"/>
        </w:rPr>
        <w:instrText xml:space="preserve"> \* ARABIC </w:instrText>
      </w:r>
      <w:r w:rsidRPr="002064E9">
        <w:rPr>
          <w:smallCaps/>
          <w:szCs w:val="26"/>
        </w:rPr>
        <w:fldChar w:fldCharType="separate"/>
      </w:r>
      <w:bookmarkStart w:id="2" w:name="_Ref343687017"/>
      <w:r w:rsidRPr="002064E9">
        <w:rPr>
          <w:smallCaps/>
          <w:noProof/>
          <w:szCs w:val="26"/>
          <w:lang w:val="en-US"/>
        </w:rPr>
        <w:t>5</w:t>
      </w:r>
      <w:bookmarkEnd w:id="2"/>
      <w:r w:rsidRPr="002064E9">
        <w:rPr>
          <w:smallCaps/>
          <w:szCs w:val="26"/>
        </w:rPr>
        <w:fldChar w:fldCharType="end"/>
      </w:r>
    </w:p>
    <w:p w:rsidR="002064E9" w:rsidRPr="002064E9" w:rsidRDefault="002064E9" w:rsidP="002064E9">
      <w:pPr>
        <w:keepNext/>
        <w:widowControl w:val="0"/>
        <w:autoSpaceDE w:val="0"/>
        <w:autoSpaceDN w:val="0"/>
        <w:adjustRightInd w:val="0"/>
        <w:spacing w:after="120" w:line="240" w:lineRule="auto"/>
        <w:ind w:firstLine="0"/>
        <w:jc w:val="center"/>
        <w:rPr>
          <w:b/>
          <w:sz w:val="24"/>
          <w:szCs w:val="24"/>
          <w:lang w:val="en-US"/>
        </w:rPr>
      </w:pPr>
      <w:r w:rsidRPr="002064E9">
        <w:rPr>
          <w:b/>
          <w:sz w:val="24"/>
          <w:szCs w:val="24"/>
          <w:lang w:val="en-US"/>
        </w:rPr>
        <w:t xml:space="preserve">Impact of the FTA on </w:t>
      </w:r>
      <w:r w:rsidR="00FB0DCE">
        <w:rPr>
          <w:b/>
          <w:sz w:val="24"/>
          <w:szCs w:val="24"/>
          <w:lang w:val="en-US"/>
        </w:rPr>
        <w:t>Imports</w:t>
      </w:r>
      <w:r w:rsidRPr="002064E9">
        <w:rPr>
          <w:b/>
          <w:sz w:val="24"/>
          <w:szCs w:val="24"/>
          <w:lang w:val="en-US"/>
        </w:rPr>
        <w:t xml:space="preserve"> (in %)</w:t>
      </w:r>
    </w:p>
    <w:tbl>
      <w:tblPr>
        <w:tblStyle w:val="15"/>
        <w:tblW w:w="0" w:type="auto"/>
        <w:tblInd w:w="108" w:type="dxa"/>
        <w:tblLook w:val="04A0" w:firstRow="1" w:lastRow="0" w:firstColumn="1" w:lastColumn="0" w:noHBand="0" w:noVBand="1"/>
      </w:tblPr>
      <w:tblGrid>
        <w:gridCol w:w="2310"/>
        <w:gridCol w:w="1163"/>
        <w:gridCol w:w="1157"/>
        <w:gridCol w:w="1148"/>
        <w:gridCol w:w="1146"/>
        <w:gridCol w:w="1148"/>
        <w:gridCol w:w="1147"/>
      </w:tblGrid>
      <w:tr w:rsidR="002064E9" w:rsidRPr="002064E9" w:rsidTr="00CF379C">
        <w:trPr>
          <w:trHeight w:val="47"/>
        </w:trPr>
        <w:tc>
          <w:tcPr>
            <w:tcW w:w="2310" w:type="dxa"/>
            <w:tcBorders>
              <w:top w:val="thinThickMediumGap" w:sz="18" w:space="0" w:color="auto"/>
              <w:right w:val="single" w:sz="18" w:space="0" w:color="auto"/>
            </w:tcBorders>
          </w:tcPr>
          <w:p w:rsidR="002064E9" w:rsidRPr="002064E9" w:rsidRDefault="002064E9" w:rsidP="002064E9">
            <w:pPr>
              <w:spacing w:line="240" w:lineRule="auto"/>
              <w:ind w:firstLine="0"/>
              <w:rPr>
                <w:sz w:val="22"/>
                <w:lang w:val="en-US"/>
              </w:rPr>
            </w:pPr>
          </w:p>
        </w:tc>
        <w:tc>
          <w:tcPr>
            <w:tcW w:w="2320" w:type="dxa"/>
            <w:gridSpan w:val="2"/>
            <w:tcBorders>
              <w:top w:val="thinThickMediumGap" w:sz="18" w:space="0" w:color="auto"/>
              <w:left w:val="single" w:sz="18" w:space="0" w:color="auto"/>
              <w:right w:val="single" w:sz="18" w:space="0" w:color="auto"/>
            </w:tcBorders>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b/>
                <w:sz w:val="20"/>
                <w:lang w:val="en-US" w:eastAsia="en-US"/>
              </w:rPr>
              <w:t xml:space="preserve">CU’s </w:t>
            </w:r>
            <w:proofErr w:type="spellStart"/>
            <w:r w:rsidR="00FB0DCE">
              <w:rPr>
                <w:rFonts w:eastAsia="Times New Roman"/>
                <w:b/>
                <w:sz w:val="20"/>
                <w:lang w:eastAsia="en-US"/>
              </w:rPr>
              <w:t>Imports</w:t>
            </w:r>
            <w:proofErr w:type="spellEnd"/>
          </w:p>
        </w:tc>
        <w:tc>
          <w:tcPr>
            <w:tcW w:w="2294" w:type="dxa"/>
            <w:gridSpan w:val="2"/>
            <w:tcBorders>
              <w:top w:val="thinThickMediumGap" w:sz="18" w:space="0" w:color="auto"/>
              <w:left w:val="single" w:sz="18" w:space="0" w:color="auto"/>
              <w:right w:val="single" w:sz="18" w:space="0" w:color="auto"/>
            </w:tcBorders>
            <w:vAlign w:val="center"/>
          </w:tcPr>
          <w:p w:rsidR="002064E9" w:rsidRPr="002064E9" w:rsidRDefault="002064E9" w:rsidP="002064E9">
            <w:pPr>
              <w:spacing w:line="240" w:lineRule="auto"/>
              <w:ind w:firstLine="0"/>
              <w:jc w:val="center"/>
              <w:rPr>
                <w:rFonts w:eastAsia="Times New Roman"/>
                <w:b/>
                <w:sz w:val="20"/>
                <w:lang w:val="en-US" w:eastAsia="en-US"/>
              </w:rPr>
            </w:pPr>
            <w:r w:rsidRPr="002064E9">
              <w:rPr>
                <w:rFonts w:eastAsia="Times New Roman"/>
                <w:b/>
                <w:sz w:val="20"/>
                <w:lang w:val="en-US" w:eastAsia="en-US"/>
              </w:rPr>
              <w:t xml:space="preserve">CU’s </w:t>
            </w:r>
            <w:r w:rsidR="00FB0DCE">
              <w:rPr>
                <w:rFonts w:eastAsia="Times New Roman"/>
                <w:b/>
                <w:sz w:val="20"/>
                <w:lang w:val="en-US" w:eastAsia="en-US"/>
              </w:rPr>
              <w:t>Imports</w:t>
            </w:r>
            <w:r w:rsidRPr="002064E9">
              <w:rPr>
                <w:rFonts w:eastAsia="Times New Roman"/>
                <w:b/>
                <w:sz w:val="20"/>
                <w:lang w:val="en-US" w:eastAsia="en-US"/>
              </w:rPr>
              <w:t xml:space="preserve"> from the EU</w:t>
            </w:r>
          </w:p>
        </w:tc>
        <w:tc>
          <w:tcPr>
            <w:tcW w:w="2295" w:type="dxa"/>
            <w:gridSpan w:val="2"/>
            <w:tcBorders>
              <w:top w:val="thinThickMediumGap" w:sz="18" w:space="0" w:color="auto"/>
              <w:left w:val="single" w:sz="18" w:space="0" w:color="auto"/>
              <w:right w:val="single" w:sz="18" w:space="0" w:color="auto"/>
            </w:tcBorders>
            <w:vAlign w:val="center"/>
          </w:tcPr>
          <w:p w:rsidR="002064E9" w:rsidRPr="002064E9" w:rsidRDefault="002064E9" w:rsidP="002064E9">
            <w:pPr>
              <w:spacing w:line="240" w:lineRule="auto"/>
              <w:ind w:firstLine="0"/>
              <w:jc w:val="center"/>
              <w:rPr>
                <w:rFonts w:eastAsia="Times New Roman"/>
                <w:b/>
                <w:sz w:val="20"/>
                <w:lang w:val="en-US" w:eastAsia="en-US"/>
              </w:rPr>
            </w:pPr>
            <w:r w:rsidRPr="002064E9">
              <w:rPr>
                <w:rFonts w:eastAsia="Times New Roman"/>
                <w:b/>
                <w:sz w:val="20"/>
                <w:lang w:val="en-US" w:eastAsia="en-US"/>
              </w:rPr>
              <w:t xml:space="preserve">CU’s </w:t>
            </w:r>
            <w:r w:rsidR="00FB0DCE">
              <w:rPr>
                <w:rFonts w:eastAsia="Times New Roman"/>
                <w:b/>
                <w:sz w:val="20"/>
                <w:lang w:val="en-US" w:eastAsia="en-US"/>
              </w:rPr>
              <w:t>Imports</w:t>
            </w:r>
            <w:r w:rsidRPr="002064E9">
              <w:rPr>
                <w:rFonts w:eastAsia="Times New Roman"/>
                <w:b/>
                <w:sz w:val="20"/>
                <w:lang w:val="en-US" w:eastAsia="en-US"/>
              </w:rPr>
              <w:t xml:space="preserve"> from the rest of the world</w:t>
            </w:r>
          </w:p>
        </w:tc>
      </w:tr>
      <w:tr w:rsidR="002064E9" w:rsidRPr="002064E9" w:rsidTr="00CF379C">
        <w:tc>
          <w:tcPr>
            <w:tcW w:w="2310" w:type="dxa"/>
            <w:tcBorders>
              <w:right w:val="single" w:sz="18" w:space="0" w:color="auto"/>
            </w:tcBorders>
            <w:vAlign w:val="center"/>
          </w:tcPr>
          <w:p w:rsidR="002064E9" w:rsidRPr="002064E9" w:rsidRDefault="002064E9" w:rsidP="002064E9">
            <w:pPr>
              <w:spacing w:line="240" w:lineRule="auto"/>
              <w:ind w:firstLine="0"/>
              <w:rPr>
                <w:rFonts w:eastAsia="Times New Roman"/>
                <w:b/>
                <w:sz w:val="20"/>
                <w:lang w:val="en-US"/>
              </w:rPr>
            </w:pPr>
            <w:r w:rsidRPr="002064E9">
              <w:rPr>
                <w:rFonts w:eastAsia="Times New Roman"/>
                <w:b/>
                <w:sz w:val="20"/>
                <w:lang w:val="en-US"/>
              </w:rPr>
              <w:t>Region</w:t>
            </w:r>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SR</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LR</w:t>
            </w:r>
          </w:p>
        </w:tc>
        <w:tc>
          <w:tcPr>
            <w:tcW w:w="1148" w:type="dxa"/>
            <w:tcBorders>
              <w:lef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SR</w:t>
            </w:r>
          </w:p>
        </w:tc>
        <w:tc>
          <w:tcPr>
            <w:tcW w:w="1146"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LR</w:t>
            </w:r>
          </w:p>
        </w:tc>
        <w:tc>
          <w:tcPr>
            <w:tcW w:w="1148" w:type="dxa"/>
            <w:tcBorders>
              <w:lef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SR</w:t>
            </w:r>
          </w:p>
        </w:tc>
        <w:tc>
          <w:tcPr>
            <w:tcW w:w="114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b/>
                <w:bCs/>
                <w:sz w:val="20"/>
              </w:rPr>
            </w:pPr>
            <w:r w:rsidRPr="002064E9">
              <w:rPr>
                <w:sz w:val="20"/>
                <w:lang w:val="en-US"/>
              </w:rPr>
              <w:t>LR</w:t>
            </w:r>
          </w:p>
        </w:tc>
      </w:tr>
      <w:tr w:rsidR="002064E9" w:rsidRPr="002064E9" w:rsidTr="00CF379C">
        <w:tc>
          <w:tcPr>
            <w:tcW w:w="2310" w:type="dxa"/>
            <w:tcBorders>
              <w:right w:val="single" w:sz="18" w:space="0" w:color="auto"/>
            </w:tcBorders>
            <w:vAlign w:val="center"/>
          </w:tcPr>
          <w:p w:rsidR="002064E9" w:rsidRPr="002064E9" w:rsidRDefault="002064E9" w:rsidP="002064E9">
            <w:pPr>
              <w:spacing w:line="240" w:lineRule="auto"/>
              <w:ind w:firstLine="0"/>
              <w:rPr>
                <w:rFonts w:eastAsia="Times New Roman"/>
                <w:sz w:val="20"/>
                <w:lang w:val="en-US"/>
              </w:rPr>
            </w:pPr>
            <w:r w:rsidRPr="002064E9">
              <w:rPr>
                <w:rFonts w:eastAsia="Times New Roman"/>
                <w:sz w:val="20"/>
                <w:lang w:val="en-US"/>
              </w:rPr>
              <w:t>Russia</w:t>
            </w:r>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1.5</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2.3</w:t>
            </w:r>
          </w:p>
        </w:tc>
        <w:tc>
          <w:tcPr>
            <w:tcW w:w="1148"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5.5</w:t>
            </w:r>
          </w:p>
        </w:tc>
        <w:tc>
          <w:tcPr>
            <w:tcW w:w="1146"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6.3</w:t>
            </w:r>
          </w:p>
        </w:tc>
        <w:tc>
          <w:tcPr>
            <w:tcW w:w="1148"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–3.0</w:t>
            </w:r>
          </w:p>
        </w:tc>
        <w:tc>
          <w:tcPr>
            <w:tcW w:w="114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–2.3</w:t>
            </w:r>
          </w:p>
        </w:tc>
      </w:tr>
      <w:tr w:rsidR="002064E9" w:rsidRPr="002064E9" w:rsidTr="00CF379C">
        <w:tc>
          <w:tcPr>
            <w:tcW w:w="2310" w:type="dxa"/>
            <w:tcBorders>
              <w:right w:val="single" w:sz="18" w:space="0" w:color="auto"/>
            </w:tcBorders>
            <w:vAlign w:val="center"/>
          </w:tcPr>
          <w:p w:rsidR="002064E9" w:rsidRPr="002064E9" w:rsidRDefault="002064E9" w:rsidP="002064E9">
            <w:pPr>
              <w:spacing w:line="240" w:lineRule="auto"/>
              <w:ind w:firstLine="0"/>
              <w:rPr>
                <w:rFonts w:eastAsia="Times New Roman"/>
                <w:sz w:val="20"/>
              </w:rPr>
            </w:pPr>
            <w:proofErr w:type="spellStart"/>
            <w:r w:rsidRPr="002064E9">
              <w:rPr>
                <w:rFonts w:eastAsia="Times New Roman"/>
                <w:sz w:val="20"/>
              </w:rPr>
              <w:t>Belarus</w:t>
            </w:r>
            <w:proofErr w:type="spellEnd"/>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0.7</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1.5</w:t>
            </w:r>
          </w:p>
        </w:tc>
        <w:tc>
          <w:tcPr>
            <w:tcW w:w="1148"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4.3</w:t>
            </w:r>
          </w:p>
        </w:tc>
        <w:tc>
          <w:tcPr>
            <w:tcW w:w="1146"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4.7</w:t>
            </w:r>
          </w:p>
        </w:tc>
        <w:tc>
          <w:tcPr>
            <w:tcW w:w="1148"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–3.7</w:t>
            </w:r>
          </w:p>
        </w:tc>
        <w:tc>
          <w:tcPr>
            <w:tcW w:w="114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–3.4</w:t>
            </w:r>
          </w:p>
        </w:tc>
      </w:tr>
      <w:tr w:rsidR="002064E9" w:rsidRPr="002064E9" w:rsidTr="00CF379C">
        <w:tc>
          <w:tcPr>
            <w:tcW w:w="2310" w:type="dxa"/>
            <w:tcBorders>
              <w:right w:val="single" w:sz="18" w:space="0" w:color="auto"/>
            </w:tcBorders>
            <w:vAlign w:val="center"/>
          </w:tcPr>
          <w:p w:rsidR="002064E9" w:rsidRPr="002064E9" w:rsidRDefault="002064E9" w:rsidP="002064E9">
            <w:pPr>
              <w:spacing w:line="240" w:lineRule="auto"/>
              <w:ind w:firstLine="0"/>
              <w:rPr>
                <w:rFonts w:eastAsia="Times New Roman"/>
                <w:sz w:val="20"/>
              </w:rPr>
            </w:pPr>
            <w:proofErr w:type="spellStart"/>
            <w:r w:rsidRPr="002064E9">
              <w:rPr>
                <w:rFonts w:eastAsia="Times New Roman"/>
                <w:sz w:val="20"/>
              </w:rPr>
              <w:t>Kazakhstan</w:t>
            </w:r>
            <w:proofErr w:type="spellEnd"/>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0.6</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1.2</w:t>
            </w:r>
          </w:p>
        </w:tc>
        <w:tc>
          <w:tcPr>
            <w:tcW w:w="1148"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4.4</w:t>
            </w:r>
          </w:p>
        </w:tc>
        <w:tc>
          <w:tcPr>
            <w:tcW w:w="1146"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4.6</w:t>
            </w:r>
          </w:p>
        </w:tc>
        <w:tc>
          <w:tcPr>
            <w:tcW w:w="1148"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–1.5</w:t>
            </w:r>
          </w:p>
        </w:tc>
        <w:tc>
          <w:tcPr>
            <w:tcW w:w="114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–1.3</w:t>
            </w:r>
          </w:p>
        </w:tc>
      </w:tr>
      <w:tr w:rsidR="002064E9" w:rsidRPr="002064E9" w:rsidTr="00CF379C">
        <w:tc>
          <w:tcPr>
            <w:tcW w:w="2310" w:type="dxa"/>
            <w:tcBorders>
              <w:right w:val="single" w:sz="18" w:space="0" w:color="auto"/>
            </w:tcBorders>
            <w:vAlign w:val="center"/>
          </w:tcPr>
          <w:p w:rsidR="002064E9" w:rsidRPr="002064E9" w:rsidRDefault="002064E9" w:rsidP="002064E9">
            <w:pPr>
              <w:spacing w:line="240" w:lineRule="auto"/>
              <w:ind w:firstLine="0"/>
              <w:rPr>
                <w:rFonts w:eastAsia="Times New Roman"/>
                <w:sz w:val="20"/>
                <w:lang w:val="en-US"/>
              </w:rPr>
            </w:pPr>
            <w:r w:rsidRPr="002064E9">
              <w:rPr>
                <w:rFonts w:eastAsia="Times New Roman"/>
                <w:sz w:val="20"/>
                <w:lang w:val="en-US"/>
              </w:rPr>
              <w:t>EU</w:t>
            </w:r>
          </w:p>
        </w:tc>
        <w:tc>
          <w:tcPr>
            <w:tcW w:w="1163" w:type="dxa"/>
            <w:tcBorders>
              <w:lef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0.2</w:t>
            </w:r>
          </w:p>
        </w:tc>
        <w:tc>
          <w:tcPr>
            <w:tcW w:w="1157" w:type="dxa"/>
            <w:tcBorders>
              <w:right w:val="single" w:sz="18" w:space="0" w:color="auto"/>
            </w:tcBorders>
            <w:vAlign w:val="center"/>
          </w:tcPr>
          <w:p w:rsidR="002064E9" w:rsidRPr="002064E9" w:rsidRDefault="002064E9" w:rsidP="002064E9">
            <w:pPr>
              <w:spacing w:line="240" w:lineRule="auto"/>
              <w:ind w:firstLine="0"/>
              <w:jc w:val="center"/>
              <w:rPr>
                <w:rFonts w:eastAsia="Times New Roman"/>
                <w:color w:val="000000"/>
                <w:sz w:val="20"/>
              </w:rPr>
            </w:pPr>
            <w:r w:rsidRPr="002064E9">
              <w:rPr>
                <w:rFonts w:eastAsia="Times New Roman"/>
                <w:color w:val="000000"/>
                <w:sz w:val="20"/>
                <w:szCs w:val="22"/>
              </w:rPr>
              <w:t>0.3</w:t>
            </w:r>
          </w:p>
        </w:tc>
        <w:tc>
          <w:tcPr>
            <w:tcW w:w="1148" w:type="dxa"/>
            <w:tcBorders>
              <w:left w:val="single" w:sz="18" w:space="0" w:color="auto"/>
            </w:tcBorders>
            <w:vAlign w:val="center"/>
          </w:tcPr>
          <w:p w:rsidR="002064E9" w:rsidRPr="002064E9" w:rsidRDefault="002064E9" w:rsidP="002064E9">
            <w:pPr>
              <w:spacing w:line="240" w:lineRule="auto"/>
              <w:ind w:firstLine="0"/>
              <w:jc w:val="left"/>
              <w:rPr>
                <w:rFonts w:eastAsia="Times New Roman"/>
                <w:color w:val="000000"/>
                <w:sz w:val="20"/>
              </w:rPr>
            </w:pPr>
            <w:r w:rsidRPr="002064E9">
              <w:rPr>
                <w:rFonts w:eastAsia="Times New Roman"/>
                <w:color w:val="000000"/>
                <w:sz w:val="20"/>
              </w:rPr>
              <w:t> </w:t>
            </w:r>
          </w:p>
        </w:tc>
        <w:tc>
          <w:tcPr>
            <w:tcW w:w="1146" w:type="dxa"/>
            <w:tcBorders>
              <w:right w:val="single" w:sz="18" w:space="0" w:color="auto"/>
            </w:tcBorders>
            <w:vAlign w:val="center"/>
          </w:tcPr>
          <w:p w:rsidR="002064E9" w:rsidRPr="002064E9" w:rsidRDefault="002064E9" w:rsidP="002064E9">
            <w:pPr>
              <w:spacing w:line="240" w:lineRule="auto"/>
              <w:ind w:firstLine="0"/>
              <w:jc w:val="left"/>
              <w:rPr>
                <w:rFonts w:eastAsia="Times New Roman"/>
                <w:color w:val="000000"/>
                <w:sz w:val="20"/>
              </w:rPr>
            </w:pPr>
            <w:r w:rsidRPr="002064E9">
              <w:rPr>
                <w:rFonts w:eastAsia="Times New Roman"/>
                <w:color w:val="000000"/>
                <w:sz w:val="20"/>
              </w:rPr>
              <w:t> </w:t>
            </w:r>
          </w:p>
        </w:tc>
        <w:tc>
          <w:tcPr>
            <w:tcW w:w="1148" w:type="dxa"/>
            <w:tcBorders>
              <w:left w:val="single" w:sz="18" w:space="0" w:color="auto"/>
            </w:tcBorders>
            <w:vAlign w:val="center"/>
          </w:tcPr>
          <w:p w:rsidR="002064E9" w:rsidRPr="002064E9" w:rsidRDefault="002064E9" w:rsidP="002064E9">
            <w:pPr>
              <w:spacing w:line="240" w:lineRule="auto"/>
              <w:ind w:firstLine="0"/>
              <w:jc w:val="left"/>
              <w:rPr>
                <w:rFonts w:eastAsia="Times New Roman"/>
                <w:color w:val="000000"/>
                <w:sz w:val="20"/>
              </w:rPr>
            </w:pPr>
            <w:r w:rsidRPr="002064E9">
              <w:rPr>
                <w:rFonts w:eastAsia="Times New Roman"/>
                <w:color w:val="000000"/>
                <w:sz w:val="20"/>
              </w:rPr>
              <w:t> </w:t>
            </w:r>
          </w:p>
        </w:tc>
        <w:tc>
          <w:tcPr>
            <w:tcW w:w="1147" w:type="dxa"/>
            <w:tcBorders>
              <w:right w:val="single" w:sz="18" w:space="0" w:color="auto"/>
            </w:tcBorders>
            <w:vAlign w:val="center"/>
          </w:tcPr>
          <w:p w:rsidR="002064E9" w:rsidRPr="002064E9" w:rsidRDefault="002064E9" w:rsidP="002064E9">
            <w:pPr>
              <w:spacing w:line="240" w:lineRule="auto"/>
              <w:ind w:firstLine="0"/>
              <w:jc w:val="left"/>
              <w:rPr>
                <w:rFonts w:eastAsia="Times New Roman"/>
                <w:color w:val="000000"/>
                <w:sz w:val="20"/>
              </w:rPr>
            </w:pPr>
            <w:r w:rsidRPr="002064E9">
              <w:rPr>
                <w:rFonts w:eastAsia="Times New Roman"/>
                <w:color w:val="000000"/>
                <w:sz w:val="20"/>
              </w:rPr>
              <w:t> </w:t>
            </w:r>
          </w:p>
        </w:tc>
      </w:tr>
    </w:tbl>
    <w:p w:rsidR="002064E9" w:rsidRPr="002064E9" w:rsidRDefault="002064E9" w:rsidP="002064E9">
      <w:pPr>
        <w:ind w:firstLine="0"/>
        <w:rPr>
          <w:sz w:val="22"/>
          <w:szCs w:val="24"/>
          <w:lang w:val="en-US"/>
        </w:rPr>
      </w:pPr>
      <w:r w:rsidRPr="002064E9">
        <w:rPr>
          <w:i/>
          <w:sz w:val="22"/>
          <w:lang w:val="en-US"/>
        </w:rPr>
        <w:t xml:space="preserve">Source: </w:t>
      </w:r>
      <w:r w:rsidRPr="002064E9">
        <w:rPr>
          <w:sz w:val="22"/>
          <w:lang w:val="en-US"/>
        </w:rPr>
        <w:t>Authors' calculations. SR, LR – short run, long run respectively</w:t>
      </w:r>
      <w:r w:rsidRPr="002064E9">
        <w:rPr>
          <w:sz w:val="22"/>
          <w:szCs w:val="24"/>
          <w:lang w:val="en-US"/>
        </w:rPr>
        <w:t>.</w:t>
      </w:r>
    </w:p>
    <w:p w:rsidR="002064E9" w:rsidRPr="002064E9" w:rsidRDefault="002064E9" w:rsidP="002064E9">
      <w:pPr>
        <w:ind w:firstLine="708"/>
        <w:rPr>
          <w:lang w:val="en-US"/>
        </w:rPr>
      </w:pPr>
      <w:r w:rsidRPr="002064E9">
        <w:rPr>
          <w:lang w:val="en-US"/>
        </w:rPr>
        <w:t xml:space="preserve">Table </w:t>
      </w:r>
      <w:r w:rsidRPr="002064E9">
        <w:fldChar w:fldCharType="begin"/>
      </w:r>
      <w:r w:rsidRPr="002064E9">
        <w:rPr>
          <w:lang w:val="en-US"/>
        </w:rPr>
        <w:instrText xml:space="preserve"> REF _Ref343687017 \h  \* MERGEFORMAT </w:instrText>
      </w:r>
      <w:r w:rsidRPr="002064E9">
        <w:fldChar w:fldCharType="separate"/>
      </w:r>
      <w:r w:rsidRPr="002064E9">
        <w:rPr>
          <w:lang w:val="en-US"/>
        </w:rPr>
        <w:t>5</w:t>
      </w:r>
      <w:r w:rsidRPr="002064E9">
        <w:fldChar w:fldCharType="end"/>
      </w:r>
      <w:r w:rsidRPr="002064E9">
        <w:rPr>
          <w:lang w:val="en-US"/>
        </w:rPr>
        <w:t xml:space="preserve"> presents the results of </w:t>
      </w:r>
      <w:r w:rsidR="00FB0DCE">
        <w:rPr>
          <w:lang w:val="en-US"/>
        </w:rPr>
        <w:t>imports</w:t>
      </w:r>
      <w:r w:rsidRPr="002064E9">
        <w:rPr>
          <w:lang w:val="en-US"/>
        </w:rPr>
        <w:t xml:space="preserve"> changes for FTA participants. Russian imports in the short term will increase by 1.5%, imports of Belarus – by 0.7%, imports of Kazak</w:t>
      </w:r>
      <w:r w:rsidRPr="002064E9">
        <w:rPr>
          <w:lang w:val="en-US"/>
        </w:rPr>
        <w:t>h</w:t>
      </w:r>
      <w:r w:rsidRPr="002064E9">
        <w:rPr>
          <w:lang w:val="en-US"/>
        </w:rPr>
        <w:t xml:space="preserve">stan – 0.6%, the EU’s imports – by 0.2%. Unlike </w:t>
      </w:r>
      <w:r w:rsidR="00FB0DCE">
        <w:rPr>
          <w:lang w:val="en-US"/>
        </w:rPr>
        <w:t>exports</w:t>
      </w:r>
      <w:r w:rsidRPr="002064E9">
        <w:rPr>
          <w:lang w:val="en-US"/>
        </w:rPr>
        <w:t xml:space="preserve">, </w:t>
      </w:r>
      <w:r w:rsidR="00FB0DCE">
        <w:rPr>
          <w:lang w:val="en-US"/>
        </w:rPr>
        <w:t>imports</w:t>
      </w:r>
      <w:r w:rsidRPr="002064E9">
        <w:rPr>
          <w:lang w:val="en-US"/>
        </w:rPr>
        <w:t xml:space="preserve"> growth in all three cou</w:t>
      </w:r>
      <w:r w:rsidRPr="002064E9">
        <w:rPr>
          <w:lang w:val="en-US"/>
        </w:rPr>
        <w:t>n</w:t>
      </w:r>
      <w:r w:rsidRPr="002064E9">
        <w:rPr>
          <w:lang w:val="en-US"/>
        </w:rPr>
        <w:t xml:space="preserve">tries of the CU occurs only due to the growth of imports from the EU. As it can be seen from Table </w:t>
      </w:r>
      <w:r w:rsidRPr="002064E9">
        <w:fldChar w:fldCharType="begin"/>
      </w:r>
      <w:r w:rsidRPr="002064E9">
        <w:rPr>
          <w:lang w:val="en-US"/>
        </w:rPr>
        <w:instrText xml:space="preserve"> REF _Ref343687017 \h  \* MERGEFORMAT </w:instrText>
      </w:r>
      <w:r w:rsidRPr="002064E9">
        <w:fldChar w:fldCharType="separate"/>
      </w:r>
      <w:r w:rsidRPr="002064E9">
        <w:rPr>
          <w:lang w:val="en-US"/>
        </w:rPr>
        <w:t>5</w:t>
      </w:r>
      <w:r w:rsidRPr="002064E9">
        <w:fldChar w:fldCharType="end"/>
      </w:r>
      <w:r w:rsidRPr="002064E9">
        <w:rPr>
          <w:lang w:val="en-US"/>
        </w:rPr>
        <w:t xml:space="preserve"> imports from the EU in the CU grows and imports from the other countries – </w:t>
      </w:r>
      <w:r w:rsidRPr="002064E9">
        <w:rPr>
          <w:lang w:val="en-US"/>
        </w:rPr>
        <w:lastRenderedPageBreak/>
        <w:t xml:space="preserve">falls: a result of the abolition of </w:t>
      </w:r>
      <w:r w:rsidR="00FB0DCE">
        <w:rPr>
          <w:lang w:val="en-US"/>
        </w:rPr>
        <w:t>imports</w:t>
      </w:r>
      <w:r w:rsidRPr="002064E9">
        <w:rPr>
          <w:lang w:val="en-US"/>
        </w:rPr>
        <w:t xml:space="preserve"> duties is replacement of the goods from the other countries by the goods from the EU. In the long term, Russian imports will increase by 2.8%, Belarusian imports – by 1.2%, Kazakhstan’s imports – by 1.3%, the EU’s imports – by 0.3%. </w:t>
      </w:r>
    </w:p>
    <w:p w:rsidR="002064E9" w:rsidRPr="002064E9" w:rsidRDefault="002064E9" w:rsidP="002064E9">
      <w:pPr>
        <w:ind w:firstLine="708"/>
        <w:rPr>
          <w:lang w:val="en-US"/>
        </w:rPr>
      </w:pPr>
      <w:r w:rsidRPr="002064E9">
        <w:rPr>
          <w:lang w:val="en-US"/>
        </w:rPr>
        <w:t xml:space="preserve">As a result of the abolition of </w:t>
      </w:r>
      <w:r w:rsidR="00FB0DCE">
        <w:rPr>
          <w:lang w:val="en-US"/>
        </w:rPr>
        <w:t>imports</w:t>
      </w:r>
      <w:r w:rsidRPr="002064E9">
        <w:rPr>
          <w:lang w:val="en-US"/>
        </w:rPr>
        <w:t xml:space="preserve"> duties between the CU and the EU (effective Russian </w:t>
      </w:r>
      <w:r w:rsidR="00FB0DCE">
        <w:rPr>
          <w:lang w:val="en-US"/>
        </w:rPr>
        <w:t>imports</w:t>
      </w:r>
      <w:r w:rsidRPr="002064E9">
        <w:rPr>
          <w:lang w:val="en-US"/>
        </w:rPr>
        <w:t xml:space="preserve"> tariff from the EU is 7.5%, Table </w:t>
      </w:r>
      <w:r w:rsidRPr="002064E9">
        <w:fldChar w:fldCharType="begin"/>
      </w:r>
      <w:r w:rsidRPr="002064E9">
        <w:rPr>
          <w:lang w:val="en-US"/>
        </w:rPr>
        <w:instrText xml:space="preserve"> REF _Ref343005461 \h  \* MERGEFORMAT </w:instrText>
      </w:r>
      <w:r w:rsidRPr="002064E9">
        <w:fldChar w:fldCharType="separate"/>
      </w:r>
      <w:r w:rsidRPr="002064E9">
        <w:rPr>
          <w:lang w:val="en-US"/>
        </w:rPr>
        <w:t>2</w:t>
      </w:r>
      <w:r w:rsidRPr="002064E9">
        <w:fldChar w:fldCharType="end"/>
      </w:r>
      <w:r w:rsidRPr="002064E9">
        <w:rPr>
          <w:lang w:val="en-US"/>
        </w:rPr>
        <w:t>) Russian imports from the EU will i</w:t>
      </w:r>
      <w:r w:rsidRPr="002064E9">
        <w:rPr>
          <w:lang w:val="en-US"/>
        </w:rPr>
        <w:t>n</w:t>
      </w:r>
      <w:r w:rsidRPr="002064E9">
        <w:rPr>
          <w:lang w:val="en-US"/>
        </w:rPr>
        <w:t xml:space="preserve">crease by 5.5% (Table </w:t>
      </w:r>
      <w:r w:rsidRPr="002064E9">
        <w:fldChar w:fldCharType="begin"/>
      </w:r>
      <w:r w:rsidRPr="002064E9">
        <w:rPr>
          <w:lang w:val="en-US"/>
        </w:rPr>
        <w:instrText xml:space="preserve"> REF _Ref343687017 \h  \* MERGEFORMAT </w:instrText>
      </w:r>
      <w:r w:rsidRPr="002064E9">
        <w:fldChar w:fldCharType="separate"/>
      </w:r>
      <w:r w:rsidRPr="002064E9">
        <w:rPr>
          <w:lang w:val="en-US"/>
        </w:rPr>
        <w:t>5</w:t>
      </w:r>
      <w:r w:rsidRPr="002064E9">
        <w:fldChar w:fldCharType="end"/>
      </w:r>
      <w:r w:rsidRPr="002064E9">
        <w:rPr>
          <w:lang w:val="en-US"/>
        </w:rPr>
        <w:t xml:space="preserve">). It is interesting to consider an analogy between the abolition of </w:t>
      </w:r>
      <w:r w:rsidR="00FB0DCE">
        <w:rPr>
          <w:lang w:val="en-US"/>
        </w:rPr>
        <w:t>imports</w:t>
      </w:r>
      <w:r w:rsidRPr="002064E9">
        <w:rPr>
          <w:lang w:val="en-US"/>
        </w:rPr>
        <w:t xml:space="preserve"> duties and exchange rate appreciation. Whether there will be an increase of Russian imports from the EU by 5.5%, if the rubles consolidation occurs by 7.5% against the euro? There are a number of differences between the abolition of </w:t>
      </w:r>
      <w:r w:rsidR="00FB0DCE">
        <w:rPr>
          <w:lang w:val="en-US"/>
        </w:rPr>
        <w:t>imports</w:t>
      </w:r>
      <w:r w:rsidRPr="002064E9">
        <w:rPr>
          <w:lang w:val="en-US"/>
        </w:rPr>
        <w:t xml:space="preserve"> duties and the appreci</w:t>
      </w:r>
      <w:r w:rsidRPr="002064E9">
        <w:rPr>
          <w:lang w:val="en-US"/>
        </w:rPr>
        <w:t>a</w:t>
      </w:r>
      <w:r w:rsidRPr="002064E9">
        <w:rPr>
          <w:lang w:val="en-US"/>
        </w:rPr>
        <w:t xml:space="preserve">tion of the ruble, so results of influence of these two scenarios on the economy, in particular on the </w:t>
      </w:r>
      <w:r w:rsidR="00FB0DCE">
        <w:rPr>
          <w:lang w:val="en-US"/>
        </w:rPr>
        <w:t>imports</w:t>
      </w:r>
      <w:r w:rsidRPr="002064E9">
        <w:rPr>
          <w:lang w:val="en-US"/>
        </w:rPr>
        <w:t xml:space="preserve">, can vary significantly. Firstly, from the abolition of </w:t>
      </w:r>
      <w:r w:rsidR="00FB0DCE">
        <w:rPr>
          <w:lang w:val="en-US"/>
        </w:rPr>
        <w:t>imports</w:t>
      </w:r>
      <w:r w:rsidRPr="002064E9">
        <w:rPr>
          <w:lang w:val="en-US"/>
        </w:rPr>
        <w:t xml:space="preserve"> duties on goods from the EU price of imports from the EU falls relative to other prices in the economy, u</w:t>
      </w:r>
      <w:r w:rsidRPr="002064E9">
        <w:rPr>
          <w:lang w:val="en-US"/>
        </w:rPr>
        <w:t>n</w:t>
      </w:r>
      <w:r w:rsidRPr="002064E9">
        <w:rPr>
          <w:lang w:val="en-US"/>
        </w:rPr>
        <w:t>like the case of the ruble appreciation, when the price of imports from the EU falls relative to domestic goods, but it cannot fall relative the prices of imports from other countries. Se</w:t>
      </w:r>
      <w:r w:rsidRPr="002064E9">
        <w:rPr>
          <w:lang w:val="en-US"/>
        </w:rPr>
        <w:t>c</w:t>
      </w:r>
      <w:r w:rsidRPr="002064E9">
        <w:rPr>
          <w:lang w:val="en-US"/>
        </w:rPr>
        <w:t>ondly, the exchange rate is more volatile variable, so economic agents don’t immediately change their behavior in response to the appreciation of the ruble (importers don’t immed</w:t>
      </w:r>
      <w:r w:rsidRPr="002064E9">
        <w:rPr>
          <w:lang w:val="en-US"/>
        </w:rPr>
        <w:t>i</w:t>
      </w:r>
      <w:r w:rsidRPr="002064E9">
        <w:rPr>
          <w:lang w:val="en-US"/>
        </w:rPr>
        <w:t xml:space="preserve">ately increase the demand for foreign goods), waiting for a response weakening in time. Since, on the contrary, </w:t>
      </w:r>
      <w:r w:rsidR="00FB0DCE">
        <w:rPr>
          <w:lang w:val="en-US"/>
        </w:rPr>
        <w:t>imports</w:t>
      </w:r>
      <w:r w:rsidRPr="002064E9">
        <w:rPr>
          <w:lang w:val="en-US"/>
        </w:rPr>
        <w:t xml:space="preserve"> duties will be abolished on the long period the economic agents immediately change their behavior adjusting to the new conditions. Thirdly, the a</w:t>
      </w:r>
      <w:r w:rsidRPr="002064E9">
        <w:rPr>
          <w:lang w:val="en-US"/>
        </w:rPr>
        <w:t>p</w:t>
      </w:r>
      <w:r w:rsidRPr="002064E9">
        <w:rPr>
          <w:lang w:val="en-US"/>
        </w:rPr>
        <w:t xml:space="preserve">preciation of the ruble and the mutual abolition of </w:t>
      </w:r>
      <w:r w:rsidR="00FB0DCE">
        <w:rPr>
          <w:lang w:val="en-US"/>
        </w:rPr>
        <w:t>imports</w:t>
      </w:r>
      <w:r w:rsidRPr="002064E9">
        <w:rPr>
          <w:lang w:val="en-US"/>
        </w:rPr>
        <w:t xml:space="preserve"> duties affect for </w:t>
      </w:r>
      <w:r w:rsidR="00FB0DCE">
        <w:rPr>
          <w:lang w:val="en-US"/>
        </w:rPr>
        <w:t>exports</w:t>
      </w:r>
      <w:r w:rsidRPr="002064E9">
        <w:rPr>
          <w:lang w:val="en-US"/>
        </w:rPr>
        <w:t xml:space="preserve"> differen</w:t>
      </w:r>
      <w:r w:rsidRPr="002064E9">
        <w:rPr>
          <w:lang w:val="en-US"/>
        </w:rPr>
        <w:t>t</w:t>
      </w:r>
      <w:r w:rsidRPr="002064E9">
        <w:rPr>
          <w:lang w:val="en-US"/>
        </w:rPr>
        <w:t>ly. The ruble appreciation leads to the fact that exports of goods become unprofitable, which has a negative impact on production and income of households as owners of production fa</w:t>
      </w:r>
      <w:r w:rsidRPr="002064E9">
        <w:rPr>
          <w:lang w:val="en-US"/>
        </w:rPr>
        <w:t>c</w:t>
      </w:r>
      <w:r w:rsidRPr="002064E9">
        <w:rPr>
          <w:lang w:val="en-US"/>
        </w:rPr>
        <w:t xml:space="preserve">tors. It adversely affects aggregate demand including demand for imports. Asymmetrical impact of the exchange rate and </w:t>
      </w:r>
      <w:r w:rsidR="00FB0DCE">
        <w:rPr>
          <w:lang w:val="en-US"/>
        </w:rPr>
        <w:t>imports</w:t>
      </w:r>
      <w:r w:rsidRPr="002064E9">
        <w:rPr>
          <w:lang w:val="en-US"/>
        </w:rPr>
        <w:t xml:space="preserve"> duties conforms to the results obtained in the works (Idrisov, 2010a, 2010b; Knobel, 2010, 2011). Elasticity of imports demand for imports to the real effective exchange rate of modulus is greater than the elasticity of demand for own (foreign) price: if the elasticity estimates to the real effective exchange rate for various i</w:t>
      </w:r>
      <w:r w:rsidRPr="002064E9">
        <w:rPr>
          <w:lang w:val="en-US"/>
        </w:rPr>
        <w:t>n</w:t>
      </w:r>
      <w:r w:rsidRPr="002064E9">
        <w:rPr>
          <w:lang w:val="en-US"/>
        </w:rPr>
        <w:t>dustries range from 2.5 to 3.5, the estimates of elasticity of demand to its own (foreign) price - from -1.2 to -0.5.</w:t>
      </w:r>
    </w:p>
    <w:p w:rsidR="002064E9" w:rsidRPr="002064E9" w:rsidRDefault="002064E9" w:rsidP="002064E9">
      <w:pPr>
        <w:ind w:firstLine="708"/>
        <w:rPr>
          <w:lang w:val="en-US"/>
        </w:rPr>
      </w:pPr>
      <w:r w:rsidRPr="002064E9">
        <w:rPr>
          <w:lang w:val="en-US"/>
        </w:rPr>
        <w:t>In the works (Idrisov, 2010a, 2010b), the author evaluates the elasticity of demand for imports to the exchange rate and to its own price of imported products for various indu</w:t>
      </w:r>
      <w:r w:rsidRPr="002064E9">
        <w:rPr>
          <w:lang w:val="en-US"/>
        </w:rPr>
        <w:t>s</w:t>
      </w:r>
      <w:r w:rsidRPr="002064E9">
        <w:rPr>
          <w:lang w:val="en-US"/>
        </w:rPr>
        <w:lastRenderedPageBreak/>
        <w:t>tries. The average value of elasticity by industries according to the author’s assessment is about 2.6, which means that the annual appreciation of the ruble by 7.5% should lead to i</w:t>
      </w:r>
      <w:r w:rsidRPr="002064E9">
        <w:rPr>
          <w:lang w:val="en-US"/>
        </w:rPr>
        <w:t>n</w:t>
      </w:r>
      <w:r w:rsidRPr="002064E9">
        <w:rPr>
          <w:lang w:val="en-US"/>
        </w:rPr>
        <w:t xml:space="preserve">crease of demand for imports by 2.6 * 7.5 ≈ 19% (it should be noted that it is the net effect of appreciation: appreciation may be accompanied, for example, by a drop of production in the EU, which will lead to a less significant increase of trade). The average value of the elasticity of demand to imports prices in the works (Idrisov, 2010a, 2010b) is about </w:t>
      </w:r>
      <w:r w:rsidR="00CF379C">
        <w:rPr>
          <w:lang w:val="en-US"/>
        </w:rPr>
        <w:t>–</w:t>
      </w:r>
      <w:r w:rsidRPr="002064E9">
        <w:rPr>
          <w:lang w:val="en-US"/>
        </w:rPr>
        <w:t>0.9, which means that the reduction of duties by 7.5% should lead to increase of demand for i</w:t>
      </w:r>
      <w:r w:rsidRPr="002064E9">
        <w:rPr>
          <w:lang w:val="en-US"/>
        </w:rPr>
        <w:t>m</w:t>
      </w:r>
      <w:r w:rsidRPr="002064E9">
        <w:rPr>
          <w:lang w:val="en-US"/>
        </w:rPr>
        <w:t xml:space="preserve">ports by 0.9 * 7.5 ≈ 7%, which is consistent with results shown in Table </w:t>
      </w:r>
      <w:r w:rsidRPr="002064E9">
        <w:fldChar w:fldCharType="begin"/>
      </w:r>
      <w:r w:rsidRPr="002064E9">
        <w:rPr>
          <w:lang w:val="en-US"/>
        </w:rPr>
        <w:instrText xml:space="preserve"> REF _Ref343687017 \h  \* MERGEFORMAT </w:instrText>
      </w:r>
      <w:r w:rsidRPr="002064E9">
        <w:fldChar w:fldCharType="separate"/>
      </w:r>
      <w:r w:rsidRPr="002064E9">
        <w:rPr>
          <w:lang w:val="en-US"/>
        </w:rPr>
        <w:t>5</w:t>
      </w:r>
      <w:r w:rsidRPr="002064E9">
        <w:fldChar w:fldCharType="end"/>
      </w:r>
      <w:r w:rsidRPr="002064E9">
        <w:rPr>
          <w:lang w:val="en-US"/>
        </w:rPr>
        <w:t xml:space="preserve">. The paper (Knobel, 2011) proposes the assessment of elasticity of </w:t>
      </w:r>
      <w:r w:rsidR="00FB0DCE">
        <w:rPr>
          <w:lang w:val="en-US"/>
        </w:rPr>
        <w:t>imports</w:t>
      </w:r>
      <w:r w:rsidRPr="002064E9">
        <w:rPr>
          <w:lang w:val="en-US"/>
        </w:rPr>
        <w:t xml:space="preserve"> demand for the product group "live animals; products of animal origin", which relates products of the meat industry at -0.96: at this value of elasticity nullification of 20% </w:t>
      </w:r>
      <w:r w:rsidR="00FB0DCE">
        <w:rPr>
          <w:lang w:val="en-US"/>
        </w:rPr>
        <w:t>imports</w:t>
      </w:r>
      <w:r w:rsidRPr="002064E9">
        <w:rPr>
          <w:lang w:val="en-US"/>
        </w:rPr>
        <w:t xml:space="preserve"> duties for meat products may lead to an increase of imports by 0.96 * 20 ≈ 20%. It is broadly consistent with the results obtained in this work about the growth of imports from the EU by industries after the abol</w:t>
      </w:r>
      <w:r w:rsidRPr="002064E9">
        <w:rPr>
          <w:lang w:val="en-US"/>
        </w:rPr>
        <w:t>i</w:t>
      </w:r>
      <w:r w:rsidRPr="002064E9">
        <w:rPr>
          <w:lang w:val="en-US"/>
        </w:rPr>
        <w:t xml:space="preserve">tion of </w:t>
      </w:r>
      <w:r w:rsidR="00FB0DCE">
        <w:rPr>
          <w:lang w:val="en-US"/>
        </w:rPr>
        <w:t>imports</w:t>
      </w:r>
      <w:r w:rsidRPr="002064E9">
        <w:rPr>
          <w:lang w:val="en-US"/>
        </w:rPr>
        <w:t xml:space="preserve"> duties.</w:t>
      </w:r>
    </w:p>
    <w:p w:rsidR="002064E9" w:rsidRPr="002064E9" w:rsidRDefault="002064E9" w:rsidP="002064E9">
      <w:pPr>
        <w:ind w:firstLine="708"/>
        <w:rPr>
          <w:lang w:val="en-US"/>
        </w:rPr>
      </w:pPr>
      <w:r w:rsidRPr="002064E9">
        <w:rPr>
          <w:lang w:val="en-US"/>
        </w:rPr>
        <w:t xml:space="preserve">The results of this work of </w:t>
      </w:r>
      <w:r w:rsidR="00FB0DCE">
        <w:rPr>
          <w:lang w:val="en-US"/>
        </w:rPr>
        <w:t>imports</w:t>
      </w:r>
      <w:r w:rsidRPr="002064E9">
        <w:rPr>
          <w:lang w:val="en-US"/>
        </w:rPr>
        <w:t xml:space="preserve"> change in response to the abolition of duties can also be compared with the results of the foreign authors’ works of estimates of the elasticity of demand for imports. For example, in the paper (Marquez, 2000) the average elasticity of U.S. imports to a price estimated by the author is -1.18. This means that after the abolition of </w:t>
      </w:r>
      <w:r w:rsidR="00FB0DCE">
        <w:rPr>
          <w:lang w:val="en-US"/>
        </w:rPr>
        <w:t>imports</w:t>
      </w:r>
      <w:r w:rsidRPr="002064E9">
        <w:rPr>
          <w:lang w:val="en-US"/>
        </w:rPr>
        <w:t xml:space="preserve"> duty equal 7.5% the demand for imports will grow by 1.18 * 7.5% ≈ 9%. In the paper (Masih, 2000) elasticity of </w:t>
      </w:r>
      <w:r w:rsidR="00FB0DCE">
        <w:rPr>
          <w:lang w:val="en-US"/>
        </w:rPr>
        <w:t>imports</w:t>
      </w:r>
      <w:r w:rsidRPr="002064E9">
        <w:rPr>
          <w:lang w:val="en-US"/>
        </w:rPr>
        <w:t xml:space="preserve"> d</w:t>
      </w:r>
      <w:r w:rsidR="00CF379C">
        <w:rPr>
          <w:lang w:val="en-US"/>
        </w:rPr>
        <w:t>emand in Japan is estimated at –</w:t>
      </w:r>
      <w:r w:rsidRPr="002064E9">
        <w:rPr>
          <w:lang w:val="en-US"/>
        </w:rPr>
        <w:t>1.89, which co</w:t>
      </w:r>
      <w:r w:rsidRPr="002064E9">
        <w:rPr>
          <w:lang w:val="en-US"/>
        </w:rPr>
        <w:t>r</w:t>
      </w:r>
      <w:r w:rsidRPr="002064E9">
        <w:rPr>
          <w:lang w:val="en-US"/>
        </w:rPr>
        <w:t xml:space="preserve">responds to an increase of imports by 1.89 * 7.5% ≈ 14% in case of cancellation of </w:t>
      </w:r>
      <w:r w:rsidR="00FB0DCE">
        <w:rPr>
          <w:lang w:val="en-US"/>
        </w:rPr>
        <w:t>imports</w:t>
      </w:r>
      <w:r w:rsidRPr="002064E9">
        <w:rPr>
          <w:lang w:val="en-US"/>
        </w:rPr>
        <w:t xml:space="preserve"> d</w:t>
      </w:r>
      <w:r w:rsidRPr="002064E9">
        <w:rPr>
          <w:lang w:val="en-US"/>
        </w:rPr>
        <w:t>u</w:t>
      </w:r>
      <w:r w:rsidRPr="002064E9">
        <w:rPr>
          <w:lang w:val="en-US"/>
        </w:rPr>
        <w:t>ties. These results are consistent with the results of this work.</w:t>
      </w:r>
    </w:p>
    <w:p w:rsidR="002064E9" w:rsidRPr="002064E9" w:rsidRDefault="002064E9" w:rsidP="002064E9">
      <w:pPr>
        <w:ind w:firstLine="708"/>
        <w:rPr>
          <w:lang w:val="en-US"/>
        </w:rPr>
      </w:pPr>
      <w:r w:rsidRPr="002064E9">
        <w:rPr>
          <w:lang w:val="en-US"/>
        </w:rPr>
        <w:t xml:space="preserve">Table </w:t>
      </w:r>
      <w:r w:rsidRPr="002064E9">
        <w:fldChar w:fldCharType="begin"/>
      </w:r>
      <w:r w:rsidRPr="002064E9">
        <w:rPr>
          <w:lang w:val="en-US"/>
        </w:rPr>
        <w:instrText xml:space="preserve"> REF _Ref344025987 \h  \* MERGEFORMAT </w:instrText>
      </w:r>
      <w:r w:rsidRPr="002064E9">
        <w:fldChar w:fldCharType="separate"/>
      </w:r>
      <w:r w:rsidRPr="002064E9">
        <w:rPr>
          <w:lang w:val="en-US"/>
        </w:rPr>
        <w:t>6</w:t>
      </w:r>
      <w:r w:rsidRPr="002064E9">
        <w:fldChar w:fldCharType="end"/>
      </w:r>
      <w:r w:rsidRPr="002064E9">
        <w:rPr>
          <w:lang w:val="en-US"/>
        </w:rPr>
        <w:t xml:space="preserve"> presents the change of imports by industries as a result of FTA. Russian </w:t>
      </w:r>
      <w:r w:rsidR="00FB0DCE">
        <w:rPr>
          <w:lang w:val="en-US"/>
        </w:rPr>
        <w:t>i</w:t>
      </w:r>
      <w:r w:rsidR="00FB0DCE">
        <w:rPr>
          <w:lang w:val="en-US"/>
        </w:rPr>
        <w:t>m</w:t>
      </w:r>
      <w:r w:rsidR="00FB0DCE">
        <w:rPr>
          <w:lang w:val="en-US"/>
        </w:rPr>
        <w:t>ports</w:t>
      </w:r>
      <w:r w:rsidRPr="002064E9">
        <w:rPr>
          <w:lang w:val="en-US"/>
        </w:rPr>
        <w:t xml:space="preserve"> will grow in almost all industries in the short term. In all industries this growth is due only to the growth of imports from the EU, as imports of the Russian Federation from cou</w:t>
      </w:r>
      <w:r w:rsidRPr="002064E9">
        <w:rPr>
          <w:lang w:val="en-US"/>
        </w:rPr>
        <w:t>n</w:t>
      </w:r>
      <w:r w:rsidRPr="002064E9">
        <w:rPr>
          <w:lang w:val="en-US"/>
        </w:rPr>
        <w:t>tries outside the EU falls.</w:t>
      </w:r>
      <w:bookmarkStart w:id="3" w:name="_GoBack"/>
      <w:bookmarkEnd w:id="3"/>
    </w:p>
    <w:p w:rsidR="002064E9" w:rsidRPr="002064E9" w:rsidRDefault="002064E9" w:rsidP="002064E9">
      <w:pPr>
        <w:ind w:firstLine="708"/>
        <w:rPr>
          <w:lang w:val="en-US"/>
        </w:rPr>
      </w:pPr>
      <w:r w:rsidRPr="002064E9">
        <w:rPr>
          <w:lang w:val="en-US"/>
        </w:rPr>
        <w:t>Russian imports will grow most of all in the following areas (in the short and long term): meat (2.3% and 2.9%), products of wood and paper (5.5% and 6.4%), refined mine</w:t>
      </w:r>
      <w:r w:rsidRPr="002064E9">
        <w:rPr>
          <w:lang w:val="en-US"/>
        </w:rPr>
        <w:t>r</w:t>
      </w:r>
      <w:r w:rsidRPr="002064E9">
        <w:rPr>
          <w:lang w:val="en-US"/>
        </w:rPr>
        <w:t>als (4.0% and 4.5%), vehicles and parts (3.3% and 4.2%). Significant growth in these se</w:t>
      </w:r>
      <w:r w:rsidRPr="002064E9">
        <w:rPr>
          <w:lang w:val="en-US"/>
        </w:rPr>
        <w:t>c</w:t>
      </w:r>
      <w:r w:rsidRPr="002064E9">
        <w:rPr>
          <w:lang w:val="en-US"/>
        </w:rPr>
        <w:t xml:space="preserve">tors is associated with high </w:t>
      </w:r>
      <w:r w:rsidR="00FB0DCE">
        <w:rPr>
          <w:lang w:val="en-US"/>
        </w:rPr>
        <w:t>imports</w:t>
      </w:r>
      <w:r w:rsidRPr="002064E9">
        <w:rPr>
          <w:lang w:val="en-US"/>
        </w:rPr>
        <w:t xml:space="preserve"> duties. For example, in the sector of meat where imports from the EU is growing by 22%, the weighted average </w:t>
      </w:r>
      <w:r w:rsidR="00FB0DCE">
        <w:rPr>
          <w:lang w:val="en-US"/>
        </w:rPr>
        <w:t>imports</w:t>
      </w:r>
      <w:r w:rsidRPr="002064E9">
        <w:rPr>
          <w:lang w:val="en-US"/>
        </w:rPr>
        <w:t xml:space="preserve"> tariff is 21%.</w:t>
      </w:r>
    </w:p>
    <w:p w:rsidR="002064E9" w:rsidRPr="002064E9" w:rsidRDefault="002064E9" w:rsidP="002064E9">
      <w:pPr>
        <w:keepNext/>
        <w:ind w:firstLine="0"/>
        <w:rPr>
          <w:smallCaps/>
          <w:szCs w:val="26"/>
          <w:lang w:val="en-US"/>
        </w:rPr>
      </w:pPr>
      <w:r w:rsidRPr="002064E9">
        <w:rPr>
          <w:i/>
          <w:smallCaps/>
          <w:szCs w:val="26"/>
          <w:lang w:val="en-US"/>
        </w:rPr>
        <w:lastRenderedPageBreak/>
        <w:t>Table</w:t>
      </w:r>
      <w:r w:rsidRPr="002064E9">
        <w:rPr>
          <w:smallCaps/>
          <w:szCs w:val="26"/>
          <w:lang w:val="en-US"/>
        </w:rPr>
        <w:t xml:space="preserve"> </w:t>
      </w:r>
      <w:r w:rsidRPr="002064E9">
        <w:rPr>
          <w:smallCaps/>
          <w:szCs w:val="26"/>
        </w:rPr>
        <w:fldChar w:fldCharType="begin"/>
      </w:r>
      <w:r w:rsidRPr="002064E9">
        <w:rPr>
          <w:smallCaps/>
          <w:szCs w:val="26"/>
          <w:lang w:val="en-US"/>
        </w:rPr>
        <w:instrText xml:space="preserve"> SEQ </w:instrText>
      </w:r>
      <w:r w:rsidRPr="002064E9">
        <w:rPr>
          <w:smallCaps/>
          <w:szCs w:val="26"/>
        </w:rPr>
        <w:instrText>Таблица</w:instrText>
      </w:r>
      <w:r w:rsidRPr="002064E9">
        <w:rPr>
          <w:smallCaps/>
          <w:szCs w:val="26"/>
          <w:lang w:val="en-US"/>
        </w:rPr>
        <w:instrText xml:space="preserve"> \* ARABIC </w:instrText>
      </w:r>
      <w:r w:rsidRPr="002064E9">
        <w:rPr>
          <w:smallCaps/>
          <w:szCs w:val="26"/>
        </w:rPr>
        <w:fldChar w:fldCharType="separate"/>
      </w:r>
      <w:bookmarkStart w:id="4" w:name="_Ref344025987"/>
      <w:r w:rsidRPr="002064E9">
        <w:rPr>
          <w:smallCaps/>
          <w:noProof/>
          <w:szCs w:val="26"/>
          <w:lang w:val="en-US"/>
        </w:rPr>
        <w:t>6</w:t>
      </w:r>
      <w:bookmarkEnd w:id="4"/>
      <w:r w:rsidRPr="002064E9">
        <w:rPr>
          <w:smallCaps/>
          <w:szCs w:val="26"/>
        </w:rPr>
        <w:fldChar w:fldCharType="end"/>
      </w:r>
    </w:p>
    <w:p w:rsidR="002064E9" w:rsidRPr="002064E9" w:rsidRDefault="002064E9" w:rsidP="002064E9">
      <w:pPr>
        <w:keepNext/>
        <w:widowControl w:val="0"/>
        <w:autoSpaceDE w:val="0"/>
        <w:autoSpaceDN w:val="0"/>
        <w:adjustRightInd w:val="0"/>
        <w:spacing w:after="120" w:line="240" w:lineRule="auto"/>
        <w:ind w:firstLine="0"/>
        <w:jc w:val="center"/>
        <w:rPr>
          <w:b/>
          <w:sz w:val="24"/>
          <w:szCs w:val="24"/>
          <w:lang w:val="en-US"/>
        </w:rPr>
      </w:pPr>
      <w:r w:rsidRPr="002064E9">
        <w:rPr>
          <w:b/>
          <w:sz w:val="24"/>
          <w:szCs w:val="24"/>
          <w:lang w:val="en-US"/>
        </w:rPr>
        <w:t xml:space="preserve">Impact of the FTA on Russian sectorial </w:t>
      </w:r>
      <w:r w:rsidR="00FB0DCE">
        <w:rPr>
          <w:b/>
          <w:sz w:val="24"/>
          <w:szCs w:val="24"/>
          <w:lang w:val="en-US"/>
        </w:rPr>
        <w:t>Imports</w:t>
      </w:r>
      <w:r w:rsidRPr="002064E9">
        <w:rPr>
          <w:b/>
          <w:sz w:val="24"/>
          <w:szCs w:val="24"/>
          <w:lang w:val="en-US"/>
        </w:rPr>
        <w:t xml:space="preserve"> (in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1"/>
        <w:gridCol w:w="1496"/>
        <w:gridCol w:w="893"/>
        <w:gridCol w:w="658"/>
        <w:gridCol w:w="654"/>
        <w:gridCol w:w="660"/>
        <w:gridCol w:w="656"/>
        <w:gridCol w:w="656"/>
      </w:tblGrid>
      <w:tr w:rsidR="002064E9" w:rsidRPr="002064E9" w:rsidTr="00CF379C">
        <w:trPr>
          <w:trHeight w:hRule="exact" w:val="797"/>
          <w:jc w:val="center"/>
        </w:trPr>
        <w:tc>
          <w:tcPr>
            <w:tcW w:w="2121" w:type="pct"/>
            <w:vMerge w:val="restart"/>
            <w:vAlign w:val="center"/>
          </w:tcPr>
          <w:p w:rsidR="002064E9" w:rsidRPr="002064E9" w:rsidRDefault="002064E9" w:rsidP="002064E9">
            <w:pPr>
              <w:spacing w:line="240" w:lineRule="auto"/>
              <w:ind w:firstLine="0"/>
              <w:rPr>
                <w:rFonts w:eastAsia="Times New Roman"/>
                <w:sz w:val="20"/>
                <w:lang w:val="en-US" w:eastAsia="en-US"/>
              </w:rPr>
            </w:pPr>
          </w:p>
        </w:tc>
        <w:tc>
          <w:tcPr>
            <w:tcW w:w="759" w:type="pct"/>
            <w:vMerge w:val="restart"/>
          </w:tcPr>
          <w:p w:rsidR="002064E9" w:rsidRPr="002064E9" w:rsidRDefault="002064E9" w:rsidP="002064E9">
            <w:pPr>
              <w:spacing w:line="240" w:lineRule="auto"/>
              <w:ind w:firstLine="0"/>
              <w:jc w:val="center"/>
              <w:rPr>
                <w:rFonts w:eastAsia="Times New Roman"/>
                <w:sz w:val="20"/>
                <w:lang w:val="en-US" w:eastAsia="en-US"/>
              </w:rPr>
            </w:pPr>
            <w:r w:rsidRPr="002064E9">
              <w:rPr>
                <w:rFonts w:eastAsia="Times New Roman"/>
                <w:sz w:val="20"/>
                <w:lang w:val="en-US" w:eastAsia="en-US"/>
              </w:rPr>
              <w:t xml:space="preserve">The weighted average tariff on </w:t>
            </w:r>
            <w:r w:rsidR="00FB0DCE">
              <w:rPr>
                <w:rFonts w:eastAsia="Times New Roman"/>
                <w:sz w:val="20"/>
                <w:lang w:val="en-US" w:eastAsia="en-US"/>
              </w:rPr>
              <w:t>imports</w:t>
            </w:r>
            <w:r w:rsidRPr="002064E9">
              <w:rPr>
                <w:rFonts w:eastAsia="Times New Roman"/>
                <w:sz w:val="20"/>
                <w:lang w:val="en-US" w:eastAsia="en-US"/>
              </w:rPr>
              <w:t xml:space="preserve"> from the EU</w:t>
            </w:r>
          </w:p>
        </w:tc>
        <w:tc>
          <w:tcPr>
            <w:tcW w:w="787" w:type="pct"/>
            <w:gridSpan w:val="2"/>
            <w:vAlign w:val="center"/>
          </w:tcPr>
          <w:p w:rsidR="002064E9" w:rsidRPr="002064E9" w:rsidRDefault="00FB0DCE" w:rsidP="002064E9">
            <w:pPr>
              <w:spacing w:line="240" w:lineRule="auto"/>
              <w:ind w:firstLine="0"/>
              <w:jc w:val="center"/>
              <w:rPr>
                <w:rFonts w:eastAsia="Times New Roman"/>
                <w:sz w:val="20"/>
                <w:lang w:eastAsia="en-US"/>
              </w:rPr>
            </w:pPr>
            <w:proofErr w:type="spellStart"/>
            <w:r>
              <w:rPr>
                <w:rFonts w:eastAsia="Times New Roman"/>
                <w:sz w:val="20"/>
                <w:lang w:eastAsia="en-US"/>
              </w:rPr>
              <w:t>Imports</w:t>
            </w:r>
            <w:proofErr w:type="spellEnd"/>
          </w:p>
        </w:tc>
        <w:tc>
          <w:tcPr>
            <w:tcW w:w="667" w:type="pct"/>
            <w:gridSpan w:val="2"/>
            <w:vAlign w:val="center"/>
          </w:tcPr>
          <w:p w:rsidR="002064E9" w:rsidRPr="002064E9" w:rsidRDefault="00FB0DCE" w:rsidP="002064E9">
            <w:pPr>
              <w:spacing w:line="240" w:lineRule="auto"/>
              <w:ind w:firstLine="0"/>
              <w:jc w:val="center"/>
              <w:rPr>
                <w:rFonts w:eastAsia="Times New Roman"/>
                <w:sz w:val="20"/>
                <w:lang w:val="en-US" w:eastAsia="en-US"/>
              </w:rPr>
            </w:pPr>
            <w:proofErr w:type="spellStart"/>
            <w:r>
              <w:rPr>
                <w:rFonts w:eastAsia="Times New Roman"/>
                <w:sz w:val="20"/>
                <w:lang w:eastAsia="en-US"/>
              </w:rPr>
              <w:t>Imports</w:t>
            </w:r>
            <w:proofErr w:type="spellEnd"/>
            <w:r w:rsidR="002064E9" w:rsidRPr="002064E9">
              <w:rPr>
                <w:rFonts w:eastAsia="Times New Roman"/>
                <w:sz w:val="20"/>
                <w:lang w:val="en-US" w:eastAsia="en-US"/>
              </w:rPr>
              <w:t xml:space="preserve"> from the EU</w:t>
            </w:r>
          </w:p>
        </w:tc>
        <w:tc>
          <w:tcPr>
            <w:tcW w:w="666" w:type="pct"/>
            <w:gridSpan w:val="2"/>
            <w:vAlign w:val="center"/>
          </w:tcPr>
          <w:p w:rsidR="002064E9" w:rsidRPr="002064E9" w:rsidRDefault="00FB0DCE" w:rsidP="002064E9">
            <w:pPr>
              <w:spacing w:line="240" w:lineRule="auto"/>
              <w:ind w:firstLine="0"/>
              <w:jc w:val="center"/>
              <w:rPr>
                <w:rFonts w:eastAsia="Times New Roman"/>
                <w:b/>
                <w:sz w:val="20"/>
                <w:lang w:val="en-US" w:eastAsia="en-US"/>
              </w:rPr>
            </w:pPr>
            <w:r>
              <w:rPr>
                <w:rFonts w:eastAsia="Times New Roman"/>
                <w:sz w:val="20"/>
                <w:lang w:val="en-US" w:eastAsia="en-US"/>
              </w:rPr>
              <w:t>Imports</w:t>
            </w:r>
            <w:r w:rsidR="002064E9" w:rsidRPr="002064E9">
              <w:rPr>
                <w:rFonts w:eastAsia="Times New Roman"/>
                <w:sz w:val="20"/>
                <w:lang w:val="en-US" w:eastAsia="en-US"/>
              </w:rPr>
              <w:t xml:space="preserve"> from the rest of the world</w:t>
            </w:r>
          </w:p>
        </w:tc>
      </w:tr>
      <w:tr w:rsidR="002064E9" w:rsidRPr="002064E9" w:rsidTr="00CF379C">
        <w:trPr>
          <w:trHeight w:hRule="exact" w:val="284"/>
          <w:jc w:val="center"/>
        </w:trPr>
        <w:tc>
          <w:tcPr>
            <w:tcW w:w="2121" w:type="pct"/>
            <w:vMerge/>
            <w:vAlign w:val="bottom"/>
          </w:tcPr>
          <w:p w:rsidR="002064E9" w:rsidRPr="002064E9" w:rsidRDefault="002064E9" w:rsidP="002064E9">
            <w:pPr>
              <w:spacing w:line="240" w:lineRule="auto"/>
              <w:ind w:firstLine="0"/>
              <w:rPr>
                <w:rFonts w:eastAsia="Times New Roman"/>
                <w:sz w:val="20"/>
                <w:lang w:val="en-US"/>
              </w:rPr>
            </w:pPr>
          </w:p>
        </w:tc>
        <w:tc>
          <w:tcPr>
            <w:tcW w:w="759" w:type="pct"/>
            <w:vMerge/>
          </w:tcPr>
          <w:p w:rsidR="002064E9" w:rsidRPr="002064E9" w:rsidRDefault="002064E9" w:rsidP="002064E9">
            <w:pPr>
              <w:spacing w:line="240" w:lineRule="auto"/>
              <w:ind w:firstLine="0"/>
              <w:jc w:val="center"/>
              <w:rPr>
                <w:rFonts w:eastAsia="Times New Roman"/>
                <w:sz w:val="20"/>
                <w:lang w:val="en-US" w:eastAsia="en-US"/>
              </w:rPr>
            </w:pPr>
          </w:p>
        </w:tc>
        <w:tc>
          <w:tcPr>
            <w:tcW w:w="453"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SR</w:t>
            </w:r>
          </w:p>
        </w:tc>
        <w:tc>
          <w:tcPr>
            <w:tcW w:w="334"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LR</w:t>
            </w:r>
          </w:p>
        </w:tc>
        <w:tc>
          <w:tcPr>
            <w:tcW w:w="332"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SR</w:t>
            </w:r>
          </w:p>
        </w:tc>
        <w:tc>
          <w:tcPr>
            <w:tcW w:w="335"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LR</w:t>
            </w:r>
          </w:p>
        </w:tc>
        <w:tc>
          <w:tcPr>
            <w:tcW w:w="333"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SR</w:t>
            </w:r>
          </w:p>
        </w:tc>
        <w:tc>
          <w:tcPr>
            <w:tcW w:w="333"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LR</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rPr>
              <w:t>Agriculture</w:t>
            </w:r>
            <w:proofErr w:type="spellEnd"/>
            <w:r w:rsidRPr="002064E9">
              <w:rPr>
                <w:sz w:val="20"/>
              </w:rPr>
              <w:t xml:space="preserve">, </w:t>
            </w:r>
            <w:proofErr w:type="spellStart"/>
            <w:r w:rsidRPr="002064E9">
              <w:rPr>
                <w:sz w:val="20"/>
              </w:rPr>
              <w:t>foresty</w:t>
            </w:r>
            <w:proofErr w:type="spellEnd"/>
            <w:r w:rsidRPr="002064E9">
              <w:rPr>
                <w:sz w:val="20"/>
              </w:rPr>
              <w:t xml:space="preserve">, </w:t>
            </w:r>
            <w:proofErr w:type="spellStart"/>
            <w:r w:rsidRPr="002064E9">
              <w:rPr>
                <w:sz w:val="20"/>
              </w:rPr>
              <w:t>fishing</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8.1%</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0.9</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1.6</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7.7</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8.4</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–2.1</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–1.4</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lang w:val="en-US" w:eastAsia="en-US"/>
              </w:rPr>
            </w:pPr>
            <w:proofErr w:type="spellStart"/>
            <w:r w:rsidRPr="002064E9">
              <w:rPr>
                <w:sz w:val="20"/>
                <w:lang w:eastAsia="en-US"/>
              </w:rPr>
              <w:t>Minerals</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3.3%</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–0.3</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0.3</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1.8</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1.8</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–1.4</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–1.4</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lang w:val="en-US" w:eastAsia="en-US"/>
              </w:rPr>
            </w:pPr>
            <w:proofErr w:type="spellStart"/>
            <w:r w:rsidRPr="002064E9">
              <w:rPr>
                <w:sz w:val="20"/>
                <w:lang w:eastAsia="en-US"/>
              </w:rPr>
              <w:t>Meat</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21%</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2.3</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2.9</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21.5</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22.4</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–2.4</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–1.9</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lang w:val="en-US" w:eastAsia="en-US"/>
              </w:rPr>
            </w:pPr>
            <w:proofErr w:type="spellStart"/>
            <w:r w:rsidRPr="002064E9">
              <w:rPr>
                <w:sz w:val="20"/>
                <w:lang w:eastAsia="en-US"/>
              </w:rPr>
              <w:t>Dairy</w:t>
            </w:r>
            <w:proofErr w:type="spellEnd"/>
            <w:r w:rsidRPr="002064E9">
              <w:rPr>
                <w:sz w:val="20"/>
                <w:lang w:eastAsia="en-US"/>
              </w:rPr>
              <w:t xml:space="preserve"> </w:t>
            </w:r>
            <w:proofErr w:type="spellStart"/>
            <w:r w:rsidRPr="002064E9">
              <w:rPr>
                <w:sz w:val="20"/>
                <w:lang w:eastAsia="en-US"/>
              </w:rPr>
              <w:t>products</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8.5%</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2.5</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3.1</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10.3</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11.0</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–2.8</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–2.2</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lang w:eastAsia="en-US"/>
              </w:rPr>
              <w:t>Other</w:t>
            </w:r>
            <w:proofErr w:type="spellEnd"/>
            <w:r w:rsidRPr="002064E9">
              <w:rPr>
                <w:sz w:val="20"/>
                <w:lang w:eastAsia="en-US"/>
              </w:rPr>
              <w:t xml:space="preserve"> </w:t>
            </w:r>
            <w:proofErr w:type="spellStart"/>
            <w:r w:rsidRPr="002064E9">
              <w:rPr>
                <w:sz w:val="20"/>
                <w:lang w:eastAsia="en-US"/>
              </w:rPr>
              <w:t>foods</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11.8%</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2.9</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3.5</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6.7</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7.2</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–2.5</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–2.1</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lang w:eastAsia="en-US"/>
              </w:rPr>
              <w:t>Textiles</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13%</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1.0</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1.9</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11.3</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12.4</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–3.3</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–2.4</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lang w:eastAsia="en-US"/>
              </w:rPr>
              <w:t>Wearing</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18.9%</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2.4</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3.2</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14.5</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15.4</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–3.5</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–2.8</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lang w:eastAsia="en-US"/>
              </w:rPr>
              <w:t>Wood</w:t>
            </w:r>
            <w:proofErr w:type="spellEnd"/>
            <w:r w:rsidRPr="002064E9">
              <w:rPr>
                <w:sz w:val="20"/>
                <w:lang w:eastAsia="en-US"/>
              </w:rPr>
              <w:t xml:space="preserve">, </w:t>
            </w:r>
            <w:proofErr w:type="spellStart"/>
            <w:r w:rsidRPr="002064E9">
              <w:rPr>
                <w:sz w:val="20"/>
                <w:lang w:eastAsia="en-US"/>
              </w:rPr>
              <w:t>Paper</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12.3%</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5.5</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6.4</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9.5</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10.3</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–5.0</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–4.3</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lang w:val="en-US"/>
              </w:rPr>
            </w:pPr>
            <w:proofErr w:type="spellStart"/>
            <w:r w:rsidRPr="002064E9">
              <w:rPr>
                <w:sz w:val="20"/>
                <w:lang w:eastAsia="en-US"/>
              </w:rPr>
              <w:t>Mineral</w:t>
            </w:r>
            <w:proofErr w:type="spellEnd"/>
            <w:r w:rsidRPr="002064E9">
              <w:rPr>
                <w:sz w:val="20"/>
                <w:lang w:eastAsia="en-US"/>
              </w:rPr>
              <w:t xml:space="preserve"> </w:t>
            </w:r>
            <w:proofErr w:type="spellStart"/>
            <w:r w:rsidRPr="002064E9">
              <w:rPr>
                <w:sz w:val="20"/>
                <w:lang w:eastAsia="en-US"/>
              </w:rPr>
              <w:t>products</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12.5%</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4.0</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4.5</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11.5</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11.9</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–3.1</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–2.8</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lang w:eastAsia="en-US"/>
              </w:rPr>
              <w:t>Chemical</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9.5%</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2.8</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3.6</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6.0</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6.8</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–4.3</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–3.6</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lang w:eastAsia="en-US"/>
              </w:rPr>
              <w:t>Metals</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13.7%</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2.5</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3.2</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10.6</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11.3</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–3.2</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–2.6</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lang w:eastAsia="en-US"/>
              </w:rPr>
              <w:t>Motor</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7.4%</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3.3</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4.2</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16.2</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17.2</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–5.5</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–4.6</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lang w:eastAsia="en-US"/>
              </w:rPr>
              <w:t>Electronic</w:t>
            </w:r>
            <w:proofErr w:type="spellEnd"/>
            <w:r w:rsidRPr="002064E9">
              <w:rPr>
                <w:sz w:val="20"/>
                <w:lang w:eastAsia="en-US"/>
              </w:rPr>
              <w:t xml:space="preserve"> </w:t>
            </w:r>
            <w:proofErr w:type="spellStart"/>
            <w:r w:rsidRPr="002064E9">
              <w:rPr>
                <w:sz w:val="20"/>
                <w:lang w:eastAsia="en-US"/>
              </w:rPr>
              <w:t>machinery</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7%</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0.2</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1.1</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1.4</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2.3</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–1.9</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–1.0</w:t>
            </w:r>
          </w:p>
        </w:tc>
      </w:tr>
      <w:tr w:rsidR="002064E9" w:rsidRPr="002064E9" w:rsidTr="00CF379C">
        <w:trPr>
          <w:trHeight w:val="20"/>
          <w:jc w:val="center"/>
        </w:trPr>
        <w:tc>
          <w:tcPr>
            <w:tcW w:w="2121" w:type="pct"/>
            <w:vAlign w:val="bottom"/>
          </w:tcPr>
          <w:p w:rsidR="002064E9" w:rsidRPr="002064E9" w:rsidRDefault="002064E9" w:rsidP="002064E9">
            <w:pPr>
              <w:spacing w:line="240" w:lineRule="auto"/>
              <w:ind w:firstLine="0"/>
              <w:rPr>
                <w:sz w:val="20"/>
              </w:rPr>
            </w:pPr>
            <w:proofErr w:type="spellStart"/>
            <w:r w:rsidRPr="002064E9">
              <w:rPr>
                <w:sz w:val="20"/>
                <w:lang w:eastAsia="en-US"/>
              </w:rPr>
              <w:t>Other</w:t>
            </w:r>
            <w:proofErr w:type="spellEnd"/>
            <w:r w:rsidRPr="002064E9">
              <w:rPr>
                <w:sz w:val="20"/>
                <w:lang w:eastAsia="en-US"/>
              </w:rPr>
              <w:t xml:space="preserve"> </w:t>
            </w:r>
            <w:proofErr w:type="spellStart"/>
            <w:r w:rsidRPr="002064E9">
              <w:rPr>
                <w:sz w:val="20"/>
                <w:lang w:eastAsia="en-US"/>
              </w:rPr>
              <w:t>manufact</w:t>
            </w:r>
            <w:proofErr w:type="spellEnd"/>
          </w:p>
        </w:tc>
        <w:tc>
          <w:tcPr>
            <w:tcW w:w="759" w:type="pct"/>
            <w:vAlign w:val="center"/>
          </w:tcPr>
          <w:p w:rsidR="002064E9" w:rsidRPr="002064E9" w:rsidRDefault="002064E9" w:rsidP="002064E9">
            <w:pPr>
              <w:spacing w:line="240" w:lineRule="auto"/>
              <w:ind w:firstLine="0"/>
              <w:jc w:val="center"/>
              <w:rPr>
                <w:rFonts w:eastAsia="Times New Roman"/>
                <w:sz w:val="20"/>
              </w:rPr>
            </w:pPr>
            <w:r w:rsidRPr="002064E9">
              <w:rPr>
                <w:rFonts w:eastAsia="Times New Roman"/>
                <w:sz w:val="20"/>
              </w:rPr>
              <w:t>12.4%</w:t>
            </w:r>
          </w:p>
        </w:tc>
        <w:tc>
          <w:tcPr>
            <w:tcW w:w="453"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3.4</w:t>
            </w:r>
          </w:p>
        </w:tc>
        <w:tc>
          <w:tcPr>
            <w:tcW w:w="3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4.3</w:t>
            </w:r>
          </w:p>
        </w:tc>
        <w:tc>
          <w:tcPr>
            <w:tcW w:w="332"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10.6</w:t>
            </w:r>
          </w:p>
        </w:tc>
        <w:tc>
          <w:tcPr>
            <w:tcW w:w="3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11.5</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–2.9</w:t>
            </w:r>
          </w:p>
        </w:tc>
        <w:tc>
          <w:tcPr>
            <w:tcW w:w="333"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–2.1</w:t>
            </w:r>
          </w:p>
        </w:tc>
      </w:tr>
    </w:tbl>
    <w:p w:rsidR="002064E9" w:rsidRPr="002064E9" w:rsidRDefault="002064E9" w:rsidP="002064E9">
      <w:pPr>
        <w:ind w:firstLine="0"/>
        <w:rPr>
          <w:sz w:val="22"/>
          <w:szCs w:val="24"/>
          <w:lang w:val="en-US"/>
        </w:rPr>
      </w:pPr>
      <w:r w:rsidRPr="002064E9">
        <w:rPr>
          <w:i/>
          <w:sz w:val="22"/>
          <w:lang w:val="en-US"/>
        </w:rPr>
        <w:t xml:space="preserve">Source: </w:t>
      </w:r>
      <w:r w:rsidRPr="002064E9">
        <w:rPr>
          <w:sz w:val="22"/>
          <w:lang w:val="en-US"/>
        </w:rPr>
        <w:t>Authors' calculations. SR, LR – short run, long run respectively</w:t>
      </w:r>
      <w:r w:rsidRPr="002064E9">
        <w:rPr>
          <w:sz w:val="22"/>
          <w:szCs w:val="24"/>
          <w:lang w:val="en-US"/>
        </w:rPr>
        <w:t>.</w:t>
      </w:r>
    </w:p>
    <w:p w:rsidR="002064E9" w:rsidRPr="002064E9" w:rsidRDefault="002064E9" w:rsidP="002064E9">
      <w:pPr>
        <w:ind w:firstLine="708"/>
        <w:rPr>
          <w:lang w:val="en-US"/>
        </w:rPr>
      </w:pPr>
      <w:r w:rsidRPr="002064E9">
        <w:rPr>
          <w:lang w:val="en-US"/>
        </w:rPr>
        <w:t xml:space="preserve">Table </w:t>
      </w:r>
      <w:r w:rsidRPr="002064E9">
        <w:fldChar w:fldCharType="begin"/>
      </w:r>
      <w:r w:rsidRPr="002064E9">
        <w:rPr>
          <w:lang w:val="en-US"/>
        </w:rPr>
        <w:instrText xml:space="preserve"> REF _Ref343785312 \h  \* MERGEFORMAT </w:instrText>
      </w:r>
      <w:r w:rsidRPr="002064E9">
        <w:fldChar w:fldCharType="separate"/>
      </w:r>
      <w:r w:rsidRPr="002064E9">
        <w:rPr>
          <w:lang w:val="en-US"/>
        </w:rPr>
        <w:t>7</w:t>
      </w:r>
      <w:r w:rsidRPr="002064E9">
        <w:fldChar w:fldCharType="end"/>
      </w:r>
      <w:r w:rsidRPr="002064E9">
        <w:rPr>
          <w:lang w:val="en-US"/>
        </w:rPr>
        <w:t xml:space="preserve"> shows the change of exports by sectors. According to the model after trade liberalization in the short term exports of the Russian Federation will increase in all sectors except industries of vehicles and parts and textiles. A negligible drop in exports in these se</w:t>
      </w:r>
      <w:r w:rsidRPr="002064E9">
        <w:rPr>
          <w:lang w:val="en-US"/>
        </w:rPr>
        <w:t>c</w:t>
      </w:r>
      <w:r w:rsidRPr="002064E9">
        <w:rPr>
          <w:lang w:val="en-US"/>
        </w:rPr>
        <w:t xml:space="preserve">tors (-0.6% and -0.4%, respectively) explained by fall of output of domestic goods in them. Most of all Russian </w:t>
      </w:r>
      <w:r w:rsidR="00FB0DCE">
        <w:rPr>
          <w:lang w:val="en-US"/>
        </w:rPr>
        <w:t>exports</w:t>
      </w:r>
      <w:r w:rsidRPr="002064E9">
        <w:rPr>
          <w:lang w:val="en-US"/>
        </w:rPr>
        <w:t xml:space="preserve"> will grow in the meat industry (3.8%), which is a consequence of the abolition of the high </w:t>
      </w:r>
      <w:r w:rsidR="00FB0DCE">
        <w:rPr>
          <w:lang w:val="en-US"/>
        </w:rPr>
        <w:t>imports</w:t>
      </w:r>
      <w:r w:rsidRPr="002064E9">
        <w:rPr>
          <w:lang w:val="en-US"/>
        </w:rPr>
        <w:t xml:space="preserve"> duty of the EU on Russian meat.</w:t>
      </w:r>
    </w:p>
    <w:p w:rsidR="002064E9" w:rsidRPr="002064E9" w:rsidRDefault="002064E9" w:rsidP="002064E9">
      <w:pPr>
        <w:keepNext/>
        <w:ind w:firstLine="0"/>
        <w:rPr>
          <w:smallCaps/>
          <w:szCs w:val="26"/>
          <w:lang w:val="en-US"/>
        </w:rPr>
      </w:pPr>
      <w:r w:rsidRPr="002064E9">
        <w:rPr>
          <w:i/>
          <w:smallCaps/>
          <w:szCs w:val="26"/>
          <w:lang w:val="en-US"/>
        </w:rPr>
        <w:t>Table</w:t>
      </w:r>
      <w:r w:rsidRPr="002064E9">
        <w:rPr>
          <w:smallCaps/>
          <w:szCs w:val="26"/>
          <w:lang w:val="en-US"/>
        </w:rPr>
        <w:t xml:space="preserve"> </w:t>
      </w:r>
      <w:r w:rsidRPr="002064E9">
        <w:rPr>
          <w:smallCaps/>
          <w:szCs w:val="26"/>
        </w:rPr>
        <w:fldChar w:fldCharType="begin"/>
      </w:r>
      <w:r w:rsidRPr="002064E9">
        <w:rPr>
          <w:smallCaps/>
          <w:szCs w:val="26"/>
          <w:lang w:val="en-US"/>
        </w:rPr>
        <w:instrText xml:space="preserve"> SEQ </w:instrText>
      </w:r>
      <w:r w:rsidRPr="002064E9">
        <w:rPr>
          <w:smallCaps/>
          <w:szCs w:val="26"/>
        </w:rPr>
        <w:instrText>Таблица</w:instrText>
      </w:r>
      <w:r w:rsidRPr="002064E9">
        <w:rPr>
          <w:smallCaps/>
          <w:szCs w:val="26"/>
          <w:lang w:val="en-US"/>
        </w:rPr>
        <w:instrText xml:space="preserve"> \* ARABIC </w:instrText>
      </w:r>
      <w:r w:rsidRPr="002064E9">
        <w:rPr>
          <w:smallCaps/>
          <w:szCs w:val="26"/>
        </w:rPr>
        <w:fldChar w:fldCharType="separate"/>
      </w:r>
      <w:bookmarkStart w:id="5" w:name="_Ref343785312"/>
      <w:r w:rsidRPr="002064E9">
        <w:rPr>
          <w:smallCaps/>
          <w:noProof/>
          <w:szCs w:val="26"/>
          <w:lang w:val="en-US"/>
        </w:rPr>
        <w:t>7</w:t>
      </w:r>
      <w:bookmarkEnd w:id="5"/>
      <w:r w:rsidRPr="002064E9">
        <w:rPr>
          <w:smallCaps/>
          <w:szCs w:val="26"/>
        </w:rPr>
        <w:fldChar w:fldCharType="end"/>
      </w:r>
    </w:p>
    <w:p w:rsidR="002064E9" w:rsidRPr="002064E9" w:rsidRDefault="002064E9" w:rsidP="002064E9">
      <w:pPr>
        <w:keepNext/>
        <w:widowControl w:val="0"/>
        <w:autoSpaceDE w:val="0"/>
        <w:autoSpaceDN w:val="0"/>
        <w:adjustRightInd w:val="0"/>
        <w:spacing w:after="120" w:line="240" w:lineRule="auto"/>
        <w:ind w:firstLine="0"/>
        <w:jc w:val="center"/>
        <w:rPr>
          <w:b/>
          <w:sz w:val="24"/>
          <w:szCs w:val="24"/>
          <w:lang w:val="en-US"/>
        </w:rPr>
      </w:pPr>
      <w:r w:rsidRPr="002064E9">
        <w:rPr>
          <w:b/>
          <w:sz w:val="24"/>
          <w:szCs w:val="24"/>
          <w:lang w:val="en-US"/>
        </w:rPr>
        <w:t xml:space="preserve">Impact of the FTA on Russian sectorial </w:t>
      </w:r>
      <w:r w:rsidR="00FB0DCE">
        <w:rPr>
          <w:b/>
          <w:sz w:val="24"/>
          <w:szCs w:val="24"/>
          <w:lang w:val="en-US"/>
        </w:rPr>
        <w:t>exports</w:t>
      </w:r>
      <w:r w:rsidRPr="002064E9">
        <w:rPr>
          <w:b/>
          <w:sz w:val="24"/>
          <w:szCs w:val="24"/>
          <w:lang w:val="en-US"/>
        </w:rPr>
        <w:t>, production and consumption (in %)</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6"/>
        <w:gridCol w:w="710"/>
        <w:gridCol w:w="712"/>
        <w:gridCol w:w="712"/>
        <w:gridCol w:w="712"/>
        <w:gridCol w:w="842"/>
        <w:gridCol w:w="844"/>
      </w:tblGrid>
      <w:tr w:rsidR="002064E9" w:rsidRPr="002064E9" w:rsidTr="00CF379C">
        <w:trPr>
          <w:trHeight w:hRule="exact" w:val="284"/>
          <w:jc w:val="center"/>
        </w:trPr>
        <w:tc>
          <w:tcPr>
            <w:tcW w:w="2664" w:type="pct"/>
            <w:vAlign w:val="center"/>
          </w:tcPr>
          <w:p w:rsidR="002064E9" w:rsidRPr="002064E9" w:rsidRDefault="002064E9" w:rsidP="002064E9">
            <w:pPr>
              <w:spacing w:line="240" w:lineRule="auto"/>
              <w:ind w:firstLine="0"/>
              <w:rPr>
                <w:rFonts w:eastAsia="Times New Roman"/>
                <w:sz w:val="20"/>
                <w:lang w:val="en-US" w:eastAsia="en-US"/>
              </w:rPr>
            </w:pPr>
          </w:p>
        </w:tc>
        <w:tc>
          <w:tcPr>
            <w:tcW w:w="733" w:type="pct"/>
            <w:gridSpan w:val="2"/>
            <w:vAlign w:val="center"/>
          </w:tcPr>
          <w:p w:rsidR="002064E9" w:rsidRPr="002064E9" w:rsidRDefault="00FB0DCE" w:rsidP="002064E9">
            <w:pPr>
              <w:spacing w:line="240" w:lineRule="auto"/>
              <w:ind w:firstLine="0"/>
              <w:jc w:val="center"/>
              <w:rPr>
                <w:rFonts w:eastAsia="Times New Roman"/>
                <w:sz w:val="20"/>
                <w:lang w:eastAsia="en-US"/>
              </w:rPr>
            </w:pPr>
            <w:r>
              <w:rPr>
                <w:rFonts w:eastAsia="Times New Roman"/>
                <w:sz w:val="20"/>
                <w:lang w:val="en-US" w:eastAsia="en-US"/>
              </w:rPr>
              <w:t>Exports</w:t>
            </w:r>
          </w:p>
        </w:tc>
        <w:tc>
          <w:tcPr>
            <w:tcW w:w="734" w:type="pct"/>
            <w:gridSpan w:val="2"/>
            <w:vAlign w:val="center"/>
          </w:tcPr>
          <w:p w:rsidR="002064E9" w:rsidRPr="002064E9" w:rsidRDefault="002064E9" w:rsidP="002064E9">
            <w:pPr>
              <w:spacing w:line="240" w:lineRule="auto"/>
              <w:ind w:firstLine="0"/>
              <w:jc w:val="center"/>
              <w:rPr>
                <w:rFonts w:eastAsia="Times New Roman"/>
                <w:sz w:val="20"/>
                <w:lang w:eastAsia="en-US"/>
              </w:rPr>
            </w:pPr>
            <w:r w:rsidRPr="002064E9">
              <w:rPr>
                <w:rFonts w:eastAsia="Times New Roman"/>
                <w:sz w:val="20"/>
                <w:lang w:val="en-US" w:eastAsia="en-US"/>
              </w:rPr>
              <w:t>P</w:t>
            </w:r>
            <w:proofErr w:type="spellStart"/>
            <w:r w:rsidRPr="002064E9">
              <w:rPr>
                <w:rFonts w:eastAsia="Times New Roman"/>
                <w:sz w:val="20"/>
                <w:lang w:eastAsia="en-US"/>
              </w:rPr>
              <w:t>roduction</w:t>
            </w:r>
            <w:proofErr w:type="spellEnd"/>
          </w:p>
        </w:tc>
        <w:tc>
          <w:tcPr>
            <w:tcW w:w="869" w:type="pct"/>
            <w:gridSpan w:val="2"/>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C</w:t>
            </w:r>
            <w:proofErr w:type="spellStart"/>
            <w:r w:rsidRPr="002064E9">
              <w:rPr>
                <w:rFonts w:eastAsia="Times New Roman"/>
                <w:sz w:val="20"/>
                <w:lang w:eastAsia="en-US"/>
              </w:rPr>
              <w:t>onsumption</w:t>
            </w:r>
            <w:proofErr w:type="spellEnd"/>
          </w:p>
        </w:tc>
      </w:tr>
      <w:tr w:rsidR="002064E9" w:rsidRPr="002064E9" w:rsidTr="00CF379C">
        <w:trPr>
          <w:trHeight w:hRule="exact" w:val="284"/>
          <w:jc w:val="center"/>
        </w:trPr>
        <w:tc>
          <w:tcPr>
            <w:tcW w:w="2664" w:type="pct"/>
            <w:vAlign w:val="bottom"/>
          </w:tcPr>
          <w:p w:rsidR="002064E9" w:rsidRPr="002064E9" w:rsidRDefault="002064E9" w:rsidP="002064E9">
            <w:pPr>
              <w:spacing w:line="240" w:lineRule="auto"/>
              <w:ind w:firstLine="0"/>
              <w:rPr>
                <w:rFonts w:eastAsia="Times New Roman"/>
                <w:sz w:val="20"/>
              </w:rPr>
            </w:pPr>
          </w:p>
        </w:tc>
        <w:tc>
          <w:tcPr>
            <w:tcW w:w="366"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SR</w:t>
            </w:r>
          </w:p>
        </w:tc>
        <w:tc>
          <w:tcPr>
            <w:tcW w:w="367"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LR</w:t>
            </w:r>
          </w:p>
        </w:tc>
        <w:tc>
          <w:tcPr>
            <w:tcW w:w="367"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SR</w:t>
            </w:r>
          </w:p>
        </w:tc>
        <w:tc>
          <w:tcPr>
            <w:tcW w:w="367"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LR</w:t>
            </w:r>
          </w:p>
        </w:tc>
        <w:tc>
          <w:tcPr>
            <w:tcW w:w="434"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SR</w:t>
            </w:r>
          </w:p>
        </w:tc>
        <w:tc>
          <w:tcPr>
            <w:tcW w:w="435" w:type="pct"/>
            <w:vAlign w:val="center"/>
          </w:tcPr>
          <w:p w:rsidR="002064E9" w:rsidRPr="002064E9" w:rsidRDefault="002064E9" w:rsidP="002064E9">
            <w:pPr>
              <w:spacing w:line="240" w:lineRule="auto"/>
              <w:ind w:firstLine="0"/>
              <w:jc w:val="center"/>
              <w:rPr>
                <w:rFonts w:eastAsia="Times New Roman"/>
                <w:b/>
                <w:sz w:val="20"/>
                <w:lang w:eastAsia="en-US"/>
              </w:rPr>
            </w:pPr>
            <w:r w:rsidRPr="002064E9">
              <w:rPr>
                <w:rFonts w:eastAsia="Times New Roman"/>
                <w:sz w:val="20"/>
                <w:lang w:val="en-US" w:eastAsia="en-US"/>
              </w:rPr>
              <w:t>LR</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rPr>
              <w:t>Agriculture</w:t>
            </w:r>
            <w:proofErr w:type="spellEnd"/>
            <w:r w:rsidRPr="002064E9">
              <w:rPr>
                <w:sz w:val="20"/>
              </w:rPr>
              <w:t xml:space="preserve">, </w:t>
            </w:r>
            <w:proofErr w:type="spellStart"/>
            <w:r w:rsidRPr="002064E9">
              <w:rPr>
                <w:sz w:val="20"/>
              </w:rPr>
              <w:t>foresty</w:t>
            </w:r>
            <w:proofErr w:type="spellEnd"/>
            <w:r w:rsidRPr="002064E9">
              <w:rPr>
                <w:sz w:val="20"/>
              </w:rPr>
              <w:t xml:space="preserve">, </w:t>
            </w:r>
            <w:proofErr w:type="spellStart"/>
            <w:r w:rsidRPr="002064E9">
              <w:rPr>
                <w:sz w:val="20"/>
              </w:rPr>
              <w:t>fishing</w:t>
            </w:r>
            <w:proofErr w:type="spellEnd"/>
          </w:p>
        </w:tc>
        <w:tc>
          <w:tcPr>
            <w:tcW w:w="366"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1.6</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2.5</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–0.2</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1.1</w:t>
            </w:r>
          </w:p>
        </w:tc>
        <w:tc>
          <w:tcPr>
            <w:tcW w:w="434"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–0.3</w:t>
            </w:r>
          </w:p>
        </w:tc>
        <w:tc>
          <w:tcPr>
            <w:tcW w:w="435"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1.0</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lang w:val="en-US" w:eastAsia="en-US"/>
              </w:rPr>
            </w:pPr>
            <w:proofErr w:type="spellStart"/>
            <w:r w:rsidRPr="002064E9">
              <w:rPr>
                <w:sz w:val="20"/>
                <w:lang w:eastAsia="en-US"/>
              </w:rPr>
              <w:t>Minerals</w:t>
            </w:r>
            <w:proofErr w:type="spellEnd"/>
          </w:p>
        </w:tc>
        <w:tc>
          <w:tcPr>
            <w:tcW w:w="366"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1.9</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3.3</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1.2</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2.6</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0.6</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2.0</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lang w:val="en-US" w:eastAsia="en-US"/>
              </w:rPr>
            </w:pPr>
            <w:proofErr w:type="spellStart"/>
            <w:r w:rsidRPr="002064E9">
              <w:rPr>
                <w:sz w:val="20"/>
                <w:lang w:eastAsia="en-US"/>
              </w:rPr>
              <w:t>Meat</w:t>
            </w:r>
            <w:proofErr w:type="spellEnd"/>
          </w:p>
        </w:tc>
        <w:tc>
          <w:tcPr>
            <w:tcW w:w="366"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3.8</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5.1</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–0.5</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0.9</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–0.3</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1.0</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lang w:val="en-US" w:eastAsia="en-US"/>
              </w:rPr>
            </w:pPr>
            <w:proofErr w:type="spellStart"/>
            <w:r w:rsidRPr="002064E9">
              <w:rPr>
                <w:sz w:val="20"/>
                <w:lang w:eastAsia="en-US"/>
              </w:rPr>
              <w:t>Dairy</w:t>
            </w:r>
            <w:proofErr w:type="spellEnd"/>
            <w:r w:rsidRPr="002064E9">
              <w:rPr>
                <w:sz w:val="20"/>
                <w:lang w:eastAsia="en-US"/>
              </w:rPr>
              <w:t xml:space="preserve"> </w:t>
            </w:r>
            <w:proofErr w:type="spellStart"/>
            <w:r w:rsidRPr="002064E9">
              <w:rPr>
                <w:sz w:val="20"/>
                <w:lang w:eastAsia="en-US"/>
              </w:rPr>
              <w:t>products</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1.5</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2.6</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–0.3</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1.0</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0.2</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1.4</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lang w:eastAsia="en-US"/>
              </w:rPr>
              <w:t>Other</w:t>
            </w:r>
            <w:proofErr w:type="spellEnd"/>
            <w:r w:rsidRPr="002064E9">
              <w:rPr>
                <w:sz w:val="20"/>
                <w:lang w:eastAsia="en-US"/>
              </w:rPr>
              <w:t xml:space="preserve"> </w:t>
            </w:r>
            <w:proofErr w:type="spellStart"/>
            <w:r w:rsidRPr="002064E9">
              <w:rPr>
                <w:sz w:val="20"/>
                <w:lang w:eastAsia="en-US"/>
              </w:rPr>
              <w:t>foods</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1.2</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2.3</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–0.5</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0.9</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–0.1</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1.2</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lang w:eastAsia="en-US"/>
              </w:rPr>
              <w:t>Textiles</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–0.6</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0.0</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–0.8</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0.3</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0.3</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1.3</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lang w:eastAsia="en-US"/>
              </w:rPr>
              <w:t>Wearing</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2.1</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2.8</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–1.0</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0.2</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1.2</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2.1</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lang w:eastAsia="en-US"/>
              </w:rPr>
              <w:t>Wood</w:t>
            </w:r>
            <w:proofErr w:type="spellEnd"/>
            <w:r w:rsidRPr="002064E9">
              <w:rPr>
                <w:sz w:val="20"/>
                <w:lang w:eastAsia="en-US"/>
              </w:rPr>
              <w:t xml:space="preserve">, </w:t>
            </w:r>
            <w:proofErr w:type="spellStart"/>
            <w:r w:rsidRPr="002064E9">
              <w:rPr>
                <w:sz w:val="20"/>
                <w:lang w:eastAsia="en-US"/>
              </w:rPr>
              <w:t>Paper</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0.5</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1.5</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–1.3</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0.0</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0.5</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1.8</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lang w:val="en-US"/>
              </w:rPr>
            </w:pPr>
            <w:proofErr w:type="spellStart"/>
            <w:r w:rsidRPr="002064E9">
              <w:rPr>
                <w:sz w:val="20"/>
                <w:lang w:eastAsia="en-US"/>
              </w:rPr>
              <w:t>Mineral</w:t>
            </w:r>
            <w:proofErr w:type="spellEnd"/>
            <w:r w:rsidRPr="002064E9">
              <w:rPr>
                <w:sz w:val="20"/>
                <w:lang w:eastAsia="en-US"/>
              </w:rPr>
              <w:t xml:space="preserve"> </w:t>
            </w:r>
            <w:proofErr w:type="spellStart"/>
            <w:r w:rsidRPr="002064E9">
              <w:rPr>
                <w:sz w:val="20"/>
                <w:lang w:eastAsia="en-US"/>
              </w:rPr>
              <w:t>products</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1.9</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3.3</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0.6</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2.1</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0.4</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1.8</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lang w:eastAsia="en-US"/>
              </w:rPr>
              <w:t>Chemical</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2.6</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3.8</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0.5</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2.0</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0.8</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2.0</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lang w:eastAsia="en-US"/>
              </w:rPr>
              <w:t>Metals</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2.6</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3.7</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0.9</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2.3</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0.4</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1.8</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lang w:eastAsia="en-US"/>
              </w:rPr>
              <w:t>Motor</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–0.4</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0.5</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–2.2</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–0.9</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0.9</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2.0</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lang w:eastAsia="en-US"/>
              </w:rPr>
              <w:t>Electronic</w:t>
            </w:r>
            <w:proofErr w:type="spellEnd"/>
            <w:r w:rsidRPr="002064E9">
              <w:rPr>
                <w:sz w:val="20"/>
                <w:lang w:eastAsia="en-US"/>
              </w:rPr>
              <w:t xml:space="preserve"> </w:t>
            </w:r>
            <w:proofErr w:type="spellStart"/>
            <w:r w:rsidRPr="002064E9">
              <w:rPr>
                <w:sz w:val="20"/>
                <w:lang w:eastAsia="en-US"/>
              </w:rPr>
              <w:t>machinery</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0.9</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1.9</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0.0</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1.5</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0.1</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1.3</w:t>
            </w:r>
          </w:p>
        </w:tc>
      </w:tr>
      <w:tr w:rsidR="002064E9" w:rsidRPr="002064E9" w:rsidTr="00CF379C">
        <w:trPr>
          <w:trHeight w:val="20"/>
          <w:jc w:val="center"/>
        </w:trPr>
        <w:tc>
          <w:tcPr>
            <w:tcW w:w="2664" w:type="pct"/>
            <w:vAlign w:val="bottom"/>
          </w:tcPr>
          <w:p w:rsidR="002064E9" w:rsidRPr="002064E9" w:rsidRDefault="002064E9" w:rsidP="002064E9">
            <w:pPr>
              <w:spacing w:line="240" w:lineRule="auto"/>
              <w:ind w:firstLine="0"/>
              <w:rPr>
                <w:sz w:val="20"/>
              </w:rPr>
            </w:pPr>
            <w:proofErr w:type="spellStart"/>
            <w:r w:rsidRPr="002064E9">
              <w:rPr>
                <w:sz w:val="20"/>
                <w:lang w:eastAsia="en-US"/>
              </w:rPr>
              <w:t>Other</w:t>
            </w:r>
            <w:proofErr w:type="spellEnd"/>
            <w:r w:rsidRPr="002064E9">
              <w:rPr>
                <w:sz w:val="20"/>
                <w:lang w:eastAsia="en-US"/>
              </w:rPr>
              <w:t xml:space="preserve"> </w:t>
            </w:r>
            <w:proofErr w:type="spellStart"/>
            <w:r w:rsidRPr="002064E9">
              <w:rPr>
                <w:sz w:val="20"/>
                <w:lang w:eastAsia="en-US"/>
              </w:rPr>
              <w:t>manufact</w:t>
            </w:r>
            <w:proofErr w:type="spellEnd"/>
          </w:p>
        </w:tc>
        <w:tc>
          <w:tcPr>
            <w:tcW w:w="366"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1.6</w:t>
            </w:r>
          </w:p>
        </w:tc>
        <w:tc>
          <w:tcPr>
            <w:tcW w:w="367" w:type="pct"/>
            <w:vAlign w:val="center"/>
          </w:tcPr>
          <w:p w:rsidR="002064E9" w:rsidRPr="002064E9" w:rsidRDefault="002064E9" w:rsidP="002064E9">
            <w:pPr>
              <w:numPr>
                <w:ilvl w:val="1"/>
                <w:numId w:val="0"/>
              </w:numPr>
              <w:spacing w:line="240" w:lineRule="auto"/>
              <w:jc w:val="center"/>
              <w:rPr>
                <w:rFonts w:eastAsia="Times New Roman"/>
                <w:iCs/>
                <w:sz w:val="20"/>
              </w:rPr>
            </w:pPr>
            <w:r w:rsidRPr="002064E9">
              <w:rPr>
                <w:rFonts w:eastAsia="Times New Roman"/>
                <w:iCs/>
                <w:sz w:val="20"/>
              </w:rPr>
              <w:t>2.2</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–0.1</w:t>
            </w:r>
          </w:p>
        </w:tc>
        <w:tc>
          <w:tcPr>
            <w:tcW w:w="367" w:type="pct"/>
            <w:vAlign w:val="center"/>
          </w:tcPr>
          <w:p w:rsidR="002064E9" w:rsidRPr="002064E9" w:rsidRDefault="002064E9" w:rsidP="002064E9">
            <w:pPr>
              <w:numPr>
                <w:ilvl w:val="1"/>
                <w:numId w:val="0"/>
              </w:numPr>
              <w:spacing w:line="240" w:lineRule="auto"/>
              <w:jc w:val="center"/>
              <w:rPr>
                <w:iCs/>
                <w:sz w:val="20"/>
              </w:rPr>
            </w:pPr>
            <w:r w:rsidRPr="002064E9">
              <w:rPr>
                <w:rFonts w:eastAsia="Times New Roman"/>
                <w:iCs/>
                <w:sz w:val="20"/>
              </w:rPr>
              <w:t>1.1</w:t>
            </w:r>
          </w:p>
        </w:tc>
        <w:tc>
          <w:tcPr>
            <w:tcW w:w="434"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0.3</w:t>
            </w:r>
          </w:p>
        </w:tc>
        <w:tc>
          <w:tcPr>
            <w:tcW w:w="435" w:type="pct"/>
            <w:vAlign w:val="center"/>
          </w:tcPr>
          <w:p w:rsidR="002064E9" w:rsidRPr="002064E9" w:rsidRDefault="002064E9" w:rsidP="002064E9">
            <w:pPr>
              <w:numPr>
                <w:ilvl w:val="1"/>
                <w:numId w:val="0"/>
              </w:numPr>
              <w:spacing w:line="240" w:lineRule="auto"/>
              <w:jc w:val="center"/>
              <w:rPr>
                <w:b/>
                <w:iCs/>
                <w:sz w:val="20"/>
              </w:rPr>
            </w:pPr>
            <w:r w:rsidRPr="002064E9">
              <w:rPr>
                <w:rFonts w:eastAsia="Times New Roman"/>
                <w:iCs/>
                <w:sz w:val="20"/>
              </w:rPr>
              <w:t>1.6</w:t>
            </w:r>
          </w:p>
        </w:tc>
      </w:tr>
    </w:tbl>
    <w:p w:rsidR="002064E9" w:rsidRPr="002064E9" w:rsidRDefault="002064E9" w:rsidP="002064E9">
      <w:pPr>
        <w:ind w:firstLine="0"/>
        <w:rPr>
          <w:sz w:val="22"/>
          <w:szCs w:val="24"/>
          <w:lang w:val="en-US"/>
        </w:rPr>
      </w:pPr>
      <w:r w:rsidRPr="002064E9">
        <w:rPr>
          <w:i/>
          <w:sz w:val="22"/>
          <w:lang w:val="en-US"/>
        </w:rPr>
        <w:t xml:space="preserve">Source: </w:t>
      </w:r>
      <w:r w:rsidRPr="002064E9">
        <w:rPr>
          <w:sz w:val="22"/>
          <w:lang w:val="en-US"/>
        </w:rPr>
        <w:t>Authors' calculations. SR, LR – short run, long run respectively</w:t>
      </w:r>
      <w:r w:rsidRPr="002064E9">
        <w:rPr>
          <w:sz w:val="22"/>
          <w:szCs w:val="24"/>
          <w:lang w:val="en-US"/>
        </w:rPr>
        <w:t>.</w:t>
      </w:r>
    </w:p>
    <w:p w:rsidR="002064E9" w:rsidRPr="002064E9" w:rsidRDefault="002064E9" w:rsidP="002064E9">
      <w:pPr>
        <w:ind w:firstLine="708"/>
        <w:rPr>
          <w:lang w:val="en-US"/>
        </w:rPr>
      </w:pPr>
      <w:r w:rsidRPr="002064E9">
        <w:rPr>
          <w:lang w:val="en-US"/>
        </w:rPr>
        <w:t xml:space="preserve">Regarding output drop in two industries of the Russian economy will occur in the short term: in the industry of motor vehicles and parts (2.2%) and in the industry of wood </w:t>
      </w:r>
      <w:r w:rsidRPr="002064E9">
        <w:rPr>
          <w:lang w:val="en-US"/>
        </w:rPr>
        <w:lastRenderedPageBreak/>
        <w:t xml:space="preserve">products and paper (1.3%) </w:t>
      </w:r>
      <w:proofErr w:type="gramStart"/>
      <w:r w:rsidRPr="002064E9">
        <w:rPr>
          <w:lang w:val="en-US"/>
        </w:rPr>
        <w:t xml:space="preserve">(Table </w:t>
      </w:r>
      <w:r w:rsidRPr="002064E9">
        <w:fldChar w:fldCharType="begin"/>
      </w:r>
      <w:r w:rsidRPr="002064E9">
        <w:rPr>
          <w:lang w:val="en-US"/>
        </w:rPr>
        <w:instrText xml:space="preserve"> REF _Ref343785312 \h  \* MERGEFORMAT </w:instrText>
      </w:r>
      <w:r w:rsidRPr="002064E9">
        <w:fldChar w:fldCharType="separate"/>
      </w:r>
      <w:r w:rsidRPr="002064E9">
        <w:rPr>
          <w:lang w:val="en-US"/>
        </w:rPr>
        <w:t>7</w:t>
      </w:r>
      <w:r w:rsidRPr="002064E9">
        <w:fldChar w:fldCharType="end"/>
      </w:r>
      <w:r w:rsidRPr="002064E9">
        <w:rPr>
          <w:lang w:val="en-US"/>
        </w:rPr>
        <w:t>).</w:t>
      </w:r>
      <w:proofErr w:type="gramEnd"/>
      <w:r w:rsidRPr="002064E9">
        <w:rPr>
          <w:lang w:val="en-US"/>
        </w:rPr>
        <w:t xml:space="preserve"> These drops of production are explained by substantial increase of imports, which leads to the substitution for domestic goods by goods from the EU. The abolition of high </w:t>
      </w:r>
      <w:r w:rsidR="00FB0DCE">
        <w:rPr>
          <w:lang w:val="en-US"/>
        </w:rPr>
        <w:t>imports</w:t>
      </w:r>
      <w:r w:rsidRPr="002064E9">
        <w:rPr>
          <w:lang w:val="en-US"/>
        </w:rPr>
        <w:t xml:space="preserve"> duties of the Russian Federation makes the EU’s imports more profitable and consumption is cheaper compared to domestic ones. Since the choice of consumption between imported and domestic goods in the model is based on a function with a non-zero constant elasticity of substitution, any reduction in prices of imported goods i</w:t>
      </w:r>
      <w:r w:rsidRPr="002064E9">
        <w:rPr>
          <w:lang w:val="en-US"/>
        </w:rPr>
        <w:t>m</w:t>
      </w:r>
      <w:r w:rsidRPr="002064E9">
        <w:rPr>
          <w:lang w:val="en-US"/>
        </w:rPr>
        <w:t xml:space="preserve">plies an increase in its consumption by reducing the consumption of domestic goods: in the economy consumer switch over to </w:t>
      </w:r>
      <w:r w:rsidR="00FB0DCE">
        <w:rPr>
          <w:lang w:val="en-US"/>
        </w:rPr>
        <w:t>imports</w:t>
      </w:r>
      <w:r w:rsidRPr="002064E9">
        <w:rPr>
          <w:lang w:val="en-US"/>
        </w:rPr>
        <w:t xml:space="preserve"> goods from domestic ones. Decrease of demand for domestic goods implies decrease of production.</w:t>
      </w:r>
    </w:p>
    <w:p w:rsidR="002064E9" w:rsidRPr="002064E9" w:rsidRDefault="002064E9" w:rsidP="002064E9">
      <w:pPr>
        <w:ind w:firstLine="708"/>
        <w:rPr>
          <w:lang w:val="en-US"/>
        </w:rPr>
      </w:pPr>
      <w:r w:rsidRPr="002064E9">
        <w:rPr>
          <w:lang w:val="en-US"/>
        </w:rPr>
        <w:t xml:space="preserve">In general, the change of output in a particular industry can be explained by two countervailing effects. On the one hand, the elimination of </w:t>
      </w:r>
      <w:r w:rsidR="00FB0DCE">
        <w:rPr>
          <w:lang w:val="en-US"/>
        </w:rPr>
        <w:t>imports</w:t>
      </w:r>
      <w:r w:rsidRPr="002064E9">
        <w:rPr>
          <w:lang w:val="en-US"/>
        </w:rPr>
        <w:t xml:space="preserve"> duties of the EU makes Russian exports to the EU more competitive, which implies an increase of supply of goods due to increased production. On the other hand, the removal of </w:t>
      </w:r>
      <w:r w:rsidR="00FB0DCE">
        <w:rPr>
          <w:lang w:val="en-US"/>
        </w:rPr>
        <w:t>imports</w:t>
      </w:r>
      <w:r w:rsidRPr="002064E9">
        <w:rPr>
          <w:lang w:val="en-US"/>
        </w:rPr>
        <w:t xml:space="preserve"> duties of the CU i</w:t>
      </w:r>
      <w:r w:rsidRPr="002064E9">
        <w:rPr>
          <w:lang w:val="en-US"/>
        </w:rPr>
        <w:t>m</w:t>
      </w:r>
      <w:r w:rsidRPr="002064E9">
        <w:rPr>
          <w:lang w:val="en-US"/>
        </w:rPr>
        <w:t>plies switching from consumption of domestic goods over to imported goods, and as a r</w:t>
      </w:r>
      <w:r w:rsidRPr="002064E9">
        <w:rPr>
          <w:lang w:val="en-US"/>
        </w:rPr>
        <w:t>e</w:t>
      </w:r>
      <w:r w:rsidRPr="002064E9">
        <w:rPr>
          <w:lang w:val="en-US"/>
        </w:rPr>
        <w:t>sult, the fall of output.</w:t>
      </w:r>
    </w:p>
    <w:p w:rsidR="002064E9" w:rsidRPr="002064E9" w:rsidRDefault="002064E9" w:rsidP="002064E9">
      <w:pPr>
        <w:ind w:firstLine="708"/>
        <w:rPr>
          <w:lang w:val="en-US"/>
        </w:rPr>
      </w:pPr>
      <w:r w:rsidRPr="002064E9">
        <w:rPr>
          <w:lang w:val="en-US"/>
        </w:rPr>
        <w:t>That what kind of effect among the two mentioned above ones will prevail in a pa</w:t>
      </w:r>
      <w:r w:rsidRPr="002064E9">
        <w:rPr>
          <w:lang w:val="en-US"/>
        </w:rPr>
        <w:t>r</w:t>
      </w:r>
      <w:r w:rsidRPr="002064E9">
        <w:rPr>
          <w:lang w:val="en-US"/>
        </w:rPr>
        <w:t xml:space="preserve">ticular industry depends on the structure of mutual trade between the CU and the EU: sector share in imports from the EU, the share of industry in exports to the EU, </w:t>
      </w:r>
      <w:r w:rsidR="00FB0DCE">
        <w:rPr>
          <w:lang w:val="en-US"/>
        </w:rPr>
        <w:t>imports</w:t>
      </w:r>
      <w:r w:rsidRPr="002064E9">
        <w:rPr>
          <w:lang w:val="en-US"/>
        </w:rPr>
        <w:t xml:space="preserve"> duties of the CU and the EU in relation to each other (before the FTA). For the mentioned above two i</w:t>
      </w:r>
      <w:r w:rsidRPr="002064E9">
        <w:rPr>
          <w:lang w:val="en-US"/>
        </w:rPr>
        <w:t>n</w:t>
      </w:r>
      <w:r w:rsidRPr="002064E9">
        <w:rPr>
          <w:lang w:val="en-US"/>
        </w:rPr>
        <w:t xml:space="preserve">dustries (motor vehicles and parts, products of wood and paper), it can be noted that the second effect will dominate the first one. Firstly, the share of these sectors in imports from the EU (16% and 2%, respectively), as well as </w:t>
      </w:r>
      <w:r w:rsidR="00FB0DCE">
        <w:rPr>
          <w:lang w:val="en-US"/>
        </w:rPr>
        <w:t>imports</w:t>
      </w:r>
      <w:r w:rsidRPr="002064E9">
        <w:rPr>
          <w:lang w:val="en-US"/>
        </w:rPr>
        <w:t xml:space="preserve"> duties of the CU in these industries (7.4% and 12.3%, respectively) are significant. Secondly, on the contrary, the share of these sectors in the </w:t>
      </w:r>
      <w:r w:rsidR="00FB0DCE">
        <w:rPr>
          <w:lang w:val="en-US"/>
        </w:rPr>
        <w:t>exports</w:t>
      </w:r>
      <w:r w:rsidRPr="002064E9">
        <w:rPr>
          <w:lang w:val="en-US"/>
        </w:rPr>
        <w:t xml:space="preserve"> of the CU to the EU (0.04% and 0.2%, respectively) and </w:t>
      </w:r>
      <w:r w:rsidR="00FB0DCE">
        <w:rPr>
          <w:lang w:val="en-US"/>
        </w:rPr>
        <w:t>imports</w:t>
      </w:r>
      <w:r w:rsidRPr="002064E9">
        <w:rPr>
          <w:lang w:val="en-US"/>
        </w:rPr>
        <w:t xml:space="preserve"> d</w:t>
      </w:r>
      <w:r w:rsidRPr="002064E9">
        <w:rPr>
          <w:lang w:val="en-US"/>
        </w:rPr>
        <w:t>u</w:t>
      </w:r>
      <w:r w:rsidRPr="002064E9">
        <w:rPr>
          <w:lang w:val="en-US"/>
        </w:rPr>
        <w:t>ties of the EU (6.1% and 0.0%, respectively) are small. Consequently, the impact on pr</w:t>
      </w:r>
      <w:r w:rsidRPr="002064E9">
        <w:rPr>
          <w:lang w:val="en-US"/>
        </w:rPr>
        <w:t>o</w:t>
      </w:r>
      <w:r w:rsidRPr="002064E9">
        <w:rPr>
          <w:lang w:val="en-US"/>
        </w:rPr>
        <w:t xml:space="preserve">duction of the Russian Federation from the abolition of </w:t>
      </w:r>
      <w:r w:rsidR="00FB0DCE">
        <w:rPr>
          <w:lang w:val="en-US"/>
        </w:rPr>
        <w:t>imports</w:t>
      </w:r>
      <w:r w:rsidRPr="002064E9">
        <w:rPr>
          <w:lang w:val="en-US"/>
        </w:rPr>
        <w:t xml:space="preserve"> duties of the CU (negative effect) much more than the effect of the abolition of </w:t>
      </w:r>
      <w:r w:rsidR="00FB0DCE">
        <w:rPr>
          <w:lang w:val="en-US"/>
        </w:rPr>
        <w:t>imports</w:t>
      </w:r>
      <w:r w:rsidRPr="002064E9">
        <w:rPr>
          <w:lang w:val="en-US"/>
        </w:rPr>
        <w:t xml:space="preserve"> duties of the EU (positive e</w:t>
      </w:r>
      <w:r w:rsidRPr="002064E9">
        <w:rPr>
          <w:lang w:val="en-US"/>
        </w:rPr>
        <w:t>f</w:t>
      </w:r>
      <w:r w:rsidRPr="002064E9">
        <w:rPr>
          <w:lang w:val="en-US"/>
        </w:rPr>
        <w:t>fect). Therefore production decreases not only in the short term but in the long term in these i</w:t>
      </w:r>
      <w:r w:rsidRPr="002064E9">
        <w:rPr>
          <w:lang w:val="en-US"/>
        </w:rPr>
        <w:t>n</w:t>
      </w:r>
      <w:r w:rsidRPr="002064E9">
        <w:rPr>
          <w:lang w:val="en-US"/>
        </w:rPr>
        <w:t>dustries. In the industry of motor vehicles and parts production falls by 0.9% in the long term, and in the industry of wood products and paper production to reach the level before the creation of the FTA in the long term.</w:t>
      </w:r>
    </w:p>
    <w:p w:rsidR="002064E9" w:rsidRPr="002064E9" w:rsidRDefault="002064E9" w:rsidP="002064E9">
      <w:pPr>
        <w:ind w:firstLine="708"/>
        <w:rPr>
          <w:lang w:val="en-US"/>
        </w:rPr>
      </w:pPr>
      <w:r w:rsidRPr="002064E9">
        <w:rPr>
          <w:lang w:val="en-US"/>
        </w:rPr>
        <w:lastRenderedPageBreak/>
        <w:t>Regarding other industries, there is a decline of production in the short term in many of them: it can be argued that from the two effects in the short term the first effect will do</w:t>
      </w:r>
      <w:r w:rsidRPr="002064E9">
        <w:rPr>
          <w:lang w:val="en-US"/>
        </w:rPr>
        <w:t>m</w:t>
      </w:r>
      <w:r w:rsidRPr="002064E9">
        <w:rPr>
          <w:lang w:val="en-US"/>
        </w:rPr>
        <w:t xml:space="preserve">inate the second one. In other words, the output in the industry will fall due to the switching from consumption of domestic goods for imported goods because of decrease of </w:t>
      </w:r>
      <w:r w:rsidR="00FB0DCE">
        <w:rPr>
          <w:lang w:val="en-US"/>
        </w:rPr>
        <w:t>imports</w:t>
      </w:r>
      <w:r w:rsidRPr="002064E9">
        <w:rPr>
          <w:lang w:val="en-US"/>
        </w:rPr>
        <w:t xml:space="preserve"> prices. This fall in demand of domestic consumers will not be offset by an increase in d</w:t>
      </w:r>
      <w:r w:rsidRPr="002064E9">
        <w:rPr>
          <w:lang w:val="en-US"/>
        </w:rPr>
        <w:t>e</w:t>
      </w:r>
      <w:r w:rsidRPr="002064E9">
        <w:rPr>
          <w:lang w:val="en-US"/>
        </w:rPr>
        <w:t>mand of consumers in the EU, i.e. an increase of exports. For example, in the clothing i</w:t>
      </w:r>
      <w:r w:rsidRPr="002064E9">
        <w:rPr>
          <w:lang w:val="en-US"/>
        </w:rPr>
        <w:t>n</w:t>
      </w:r>
      <w:r w:rsidRPr="002064E9">
        <w:rPr>
          <w:lang w:val="en-US"/>
        </w:rPr>
        <w:t xml:space="preserve">dustry (in which output falls by 1%) it due to the fact that the share of clothing in Russian imports from the EU (1.08%) is significantly greater than the proportion of Russian clothing exports to the EU (&lt;0.01%), and Russian duty for </w:t>
      </w:r>
      <w:r w:rsidR="00FB0DCE">
        <w:rPr>
          <w:lang w:val="en-US"/>
        </w:rPr>
        <w:t>imports</w:t>
      </w:r>
      <w:r w:rsidRPr="002064E9">
        <w:rPr>
          <w:lang w:val="en-US"/>
        </w:rPr>
        <w:t xml:space="preserve"> of clothing is nearly 19%. Neve</w:t>
      </w:r>
      <w:r w:rsidRPr="002064E9">
        <w:rPr>
          <w:lang w:val="en-US"/>
        </w:rPr>
        <w:t>r</w:t>
      </w:r>
      <w:r w:rsidRPr="002064E9">
        <w:rPr>
          <w:lang w:val="en-US"/>
        </w:rPr>
        <w:t>theless, after capital accumulation in the industry (as in all other sectors except two ones) output grows in the long term.</w:t>
      </w:r>
    </w:p>
    <w:p w:rsidR="002064E9" w:rsidRPr="002064E9" w:rsidRDefault="002064E9" w:rsidP="002064E9">
      <w:pPr>
        <w:ind w:firstLine="708"/>
        <w:rPr>
          <w:lang w:val="en-US"/>
        </w:rPr>
      </w:pPr>
      <w:r w:rsidRPr="002064E9">
        <w:rPr>
          <w:lang w:val="en-US"/>
        </w:rPr>
        <w:t xml:space="preserve">The long term differs from the short term in the model that supply of capital in the country is not fixed and the price of capital is fixed, and in the short term - on the contrary. Regarding such specification of the model, the decline of production in some industries in the short term and increase of production in the long term can be explained as follows. </w:t>
      </w:r>
      <w:proofErr w:type="gramStart"/>
      <w:r w:rsidRPr="002064E9">
        <w:rPr>
          <w:lang w:val="en-US"/>
        </w:rPr>
        <w:t xml:space="preserve">After the abolition of </w:t>
      </w:r>
      <w:r w:rsidR="00FB0DCE">
        <w:rPr>
          <w:lang w:val="en-US"/>
        </w:rPr>
        <w:t>imports</w:t>
      </w:r>
      <w:r w:rsidRPr="002064E9">
        <w:rPr>
          <w:lang w:val="en-US"/>
        </w:rPr>
        <w:t xml:space="preserve"> duties in some sectors of the Russian Federation an increase of ou</w:t>
      </w:r>
      <w:r w:rsidRPr="002064E9">
        <w:rPr>
          <w:lang w:val="en-US"/>
        </w:rPr>
        <w:t>t</w:t>
      </w:r>
      <w:r w:rsidRPr="002064E9">
        <w:rPr>
          <w:lang w:val="en-US"/>
        </w:rPr>
        <w:t>put occurs because of increased demand for domestic products from foreign consumers along of falling prices of these products for them.</w:t>
      </w:r>
      <w:proofErr w:type="gramEnd"/>
      <w:r w:rsidRPr="002064E9">
        <w:rPr>
          <w:lang w:val="en-US"/>
        </w:rPr>
        <w:t xml:space="preserve"> Moreover increase of demand for dome</w:t>
      </w:r>
      <w:r w:rsidRPr="002064E9">
        <w:rPr>
          <w:lang w:val="en-US"/>
        </w:rPr>
        <w:t>s</w:t>
      </w:r>
      <w:r w:rsidRPr="002064E9">
        <w:rPr>
          <w:lang w:val="en-US"/>
        </w:rPr>
        <w:t>tic products can occur from domestic consumers, as far as after cancellation of duty dome</w:t>
      </w:r>
      <w:r w:rsidRPr="002064E9">
        <w:rPr>
          <w:lang w:val="en-US"/>
        </w:rPr>
        <w:t>s</w:t>
      </w:r>
      <w:r w:rsidRPr="002064E9">
        <w:rPr>
          <w:lang w:val="en-US"/>
        </w:rPr>
        <w:t>tic consumers begin to consume not only products for which prices fell (price effect), but also other goods (income effect). In response to increase of demand producers are starting to increase output, thereby presenting a greater demand for production factors. Since short-term supply of factors (including capital) is fixed, an increase in demand for them is offset by price increases. In industries where an increase in demand for domestic goods does not occur or there is a slight increase, enterprises are forced to reduce demand for production factors due to raised prices of them. As a result, output in these sectors falls in the short term. In contrast, long-term price of capital is fixed, and supply of capital can be adjusted according to demand. Unlike the short term, in the long term there is no increase of capital price (although salary increases as well as in the short-term). Therefore, manufacturers in the industries where consumer demand is growing slightly, expand production, increasing demand for capital with the possibility to rent capital at a fixed price.</w:t>
      </w:r>
    </w:p>
    <w:p w:rsidR="002064E9" w:rsidRDefault="002064E9" w:rsidP="002064E9">
      <w:pPr>
        <w:ind w:firstLine="708"/>
        <w:rPr>
          <w:lang w:val="en-US"/>
        </w:rPr>
      </w:pPr>
      <w:r w:rsidRPr="002064E9">
        <w:rPr>
          <w:lang w:val="en-US"/>
        </w:rPr>
        <w:lastRenderedPageBreak/>
        <w:t xml:space="preserve">For some sectors of the Russian economy, production increase even in the short term. For example, minerals according to the model will grow by 1.2% in the short term and by 2.6% in the long term, production of minerals – by 0.6% and 2.1%, metals – 0.9% and 2.3%. Output growth in these sectors can be explained by the fact that the abolition of </w:t>
      </w:r>
      <w:r w:rsidR="00FB0DCE">
        <w:rPr>
          <w:lang w:val="en-US"/>
        </w:rPr>
        <w:t>i</w:t>
      </w:r>
      <w:r w:rsidR="00FB0DCE">
        <w:rPr>
          <w:lang w:val="en-US"/>
        </w:rPr>
        <w:t>m</w:t>
      </w:r>
      <w:r w:rsidR="00FB0DCE">
        <w:rPr>
          <w:lang w:val="en-US"/>
        </w:rPr>
        <w:t>ports</w:t>
      </w:r>
      <w:r w:rsidRPr="002064E9">
        <w:rPr>
          <w:lang w:val="en-US"/>
        </w:rPr>
        <w:t xml:space="preserve"> duties on the EU’s products from the Russian Federation makes the </w:t>
      </w:r>
      <w:r w:rsidR="00FB0DCE">
        <w:rPr>
          <w:lang w:val="en-US"/>
        </w:rPr>
        <w:t>exports</w:t>
      </w:r>
      <w:r w:rsidRPr="002064E9">
        <w:rPr>
          <w:lang w:val="en-US"/>
        </w:rPr>
        <w:t xml:space="preserve"> of Russian goods to the EU more profitable. Producers are beginning to increase exports at the expense of reorientation products from the domestic market to exports and an increase of production. This effect on the production on the one hand is small, as the EU’s </w:t>
      </w:r>
      <w:r w:rsidR="00FB0DCE">
        <w:rPr>
          <w:lang w:val="en-US"/>
        </w:rPr>
        <w:t>imports</w:t>
      </w:r>
      <w:r w:rsidRPr="002064E9">
        <w:rPr>
          <w:lang w:val="en-US"/>
        </w:rPr>
        <w:t xml:space="preserve"> duties in these industries were originally small, and their cancellation will not result a significant increase of demand for Russian exports to the EU. As shown in Table </w:t>
      </w:r>
      <w:r w:rsidRPr="002064E9">
        <w:fldChar w:fldCharType="begin"/>
      </w:r>
      <w:r w:rsidRPr="002064E9">
        <w:rPr>
          <w:lang w:val="en-US"/>
        </w:rPr>
        <w:instrText xml:space="preserve"> REF _Ref343001177 \h  \* MERGEFORMAT </w:instrText>
      </w:r>
      <w:r w:rsidRPr="002064E9">
        <w:fldChar w:fldCharType="separate"/>
      </w:r>
      <w:r w:rsidRPr="002064E9">
        <w:rPr>
          <w:lang w:val="en-US"/>
        </w:rPr>
        <w:t>1</w:t>
      </w:r>
      <w:r w:rsidRPr="002064E9">
        <w:fldChar w:fldCharType="end"/>
      </w:r>
      <w:r w:rsidRPr="002064E9">
        <w:rPr>
          <w:lang w:val="en-US"/>
        </w:rPr>
        <w:t xml:space="preserve"> the EU’s </w:t>
      </w:r>
      <w:r w:rsidR="00FB0DCE">
        <w:rPr>
          <w:lang w:val="en-US"/>
        </w:rPr>
        <w:t>imports</w:t>
      </w:r>
      <w:r w:rsidRPr="002064E9">
        <w:rPr>
          <w:lang w:val="en-US"/>
        </w:rPr>
        <w:t xml:space="preserve"> duty for minerals from Russia is only 0.4%, the duty for products of minerals – 4.7%, while the duty for metals – an average about 4%. On the other hand, the noted impact is significant; so much as these industries absorb a large share in the </w:t>
      </w:r>
      <w:r w:rsidR="00FB0DCE">
        <w:rPr>
          <w:lang w:val="en-US"/>
        </w:rPr>
        <w:t>exports</w:t>
      </w:r>
      <w:r w:rsidRPr="002064E9">
        <w:rPr>
          <w:lang w:val="en-US"/>
        </w:rPr>
        <w:t xml:space="preserve"> of the Russian Federation to the EU (Table </w:t>
      </w:r>
      <w:r w:rsidRPr="002064E9">
        <w:fldChar w:fldCharType="begin"/>
      </w:r>
      <w:r w:rsidRPr="002064E9">
        <w:rPr>
          <w:lang w:val="en-US"/>
        </w:rPr>
        <w:instrText xml:space="preserve"> REF _Ref343001177 \h  \* MERGEFORMAT </w:instrText>
      </w:r>
      <w:r w:rsidRPr="002064E9">
        <w:fldChar w:fldCharType="separate"/>
      </w:r>
      <w:r w:rsidRPr="002064E9">
        <w:rPr>
          <w:lang w:val="en-US"/>
        </w:rPr>
        <w:t>1</w:t>
      </w:r>
      <w:r w:rsidRPr="002064E9">
        <w:fldChar w:fldCharType="end"/>
      </w:r>
      <w:r w:rsidRPr="002064E9">
        <w:rPr>
          <w:lang w:val="en-US"/>
        </w:rPr>
        <w:t>). In addition, decline of demand in some sectors of the Russian economy b</w:t>
      </w:r>
      <w:r w:rsidRPr="002064E9">
        <w:rPr>
          <w:lang w:val="en-US"/>
        </w:rPr>
        <w:t>e</w:t>
      </w:r>
      <w:r w:rsidRPr="002064E9">
        <w:rPr>
          <w:lang w:val="en-US"/>
        </w:rPr>
        <w:t>cause of the switching from consumption from domestic goods for imported goods result in the release of production factors in these sectors. Being that the factors of production in the model are homogeneous, they flow in those industries in which there was not a drop of d</w:t>
      </w:r>
      <w:r w:rsidRPr="002064E9">
        <w:rPr>
          <w:lang w:val="en-US"/>
        </w:rPr>
        <w:t>e</w:t>
      </w:r>
      <w:r w:rsidRPr="002064E9">
        <w:rPr>
          <w:lang w:val="en-US"/>
        </w:rPr>
        <w:t>mand from consumers.</w:t>
      </w:r>
    </w:p>
    <w:p w:rsidR="002064E9" w:rsidRPr="002064E9" w:rsidRDefault="002064E9" w:rsidP="002064E9">
      <w:pPr>
        <w:ind w:firstLine="708"/>
        <w:rPr>
          <w:lang w:val="en-US"/>
        </w:rPr>
      </w:pPr>
    </w:p>
    <w:p w:rsidR="00A95023" w:rsidRPr="00EE3ED2" w:rsidRDefault="00EE3ED2" w:rsidP="004C58CE">
      <w:pPr>
        <w:pStyle w:val="1"/>
        <w:rPr>
          <w:lang w:val="en-US"/>
        </w:rPr>
      </w:pPr>
      <w:r>
        <w:rPr>
          <w:lang w:val="en-US"/>
        </w:rPr>
        <w:t>Conclusion</w:t>
      </w:r>
    </w:p>
    <w:p w:rsidR="00BE618C" w:rsidRPr="00E43F24" w:rsidRDefault="00BE618C" w:rsidP="00BE618C">
      <w:pPr>
        <w:ind w:firstLine="708"/>
        <w:rPr>
          <w:szCs w:val="26"/>
          <w:lang w:val="en-US"/>
        </w:rPr>
      </w:pPr>
      <w:r w:rsidRPr="00E43F24">
        <w:rPr>
          <w:szCs w:val="26"/>
          <w:lang w:val="en-US"/>
        </w:rPr>
        <w:t xml:space="preserve">This paper investigates the possible economic impact of a free trade agreement </w:t>
      </w:r>
      <w:r>
        <w:rPr>
          <w:szCs w:val="26"/>
          <w:lang w:val="en-US"/>
        </w:rPr>
        <w:t>b</w:t>
      </w:r>
      <w:r>
        <w:rPr>
          <w:szCs w:val="26"/>
          <w:lang w:val="en-US"/>
        </w:rPr>
        <w:t>e</w:t>
      </w:r>
      <w:r>
        <w:rPr>
          <w:szCs w:val="26"/>
          <w:lang w:val="en-US"/>
        </w:rPr>
        <w:t xml:space="preserve">tween </w:t>
      </w:r>
      <w:r w:rsidRPr="00E43F24">
        <w:rPr>
          <w:szCs w:val="26"/>
          <w:lang w:val="en-US"/>
        </w:rPr>
        <w:t>the European Union</w:t>
      </w:r>
      <w:r>
        <w:rPr>
          <w:szCs w:val="26"/>
          <w:lang w:val="en-US"/>
        </w:rPr>
        <w:t xml:space="preserve"> and</w:t>
      </w:r>
      <w:r w:rsidRPr="00E43F24">
        <w:rPr>
          <w:szCs w:val="26"/>
          <w:lang w:val="en-US"/>
        </w:rPr>
        <w:t xml:space="preserve"> Russian Federation, mean</w:t>
      </w:r>
      <w:r>
        <w:rPr>
          <w:szCs w:val="26"/>
          <w:lang w:val="en-US"/>
        </w:rPr>
        <w:t>ing</w:t>
      </w:r>
      <w:r w:rsidRPr="00E43F24">
        <w:rPr>
          <w:szCs w:val="26"/>
          <w:lang w:val="en-US"/>
        </w:rPr>
        <w:t xml:space="preserve"> mutual zero </w:t>
      </w:r>
      <w:r w:rsidR="00FB0DCE">
        <w:rPr>
          <w:szCs w:val="26"/>
          <w:lang w:val="en-US"/>
        </w:rPr>
        <w:t>imports</w:t>
      </w:r>
      <w:r w:rsidRPr="00E43F24">
        <w:rPr>
          <w:szCs w:val="26"/>
          <w:lang w:val="en-US"/>
        </w:rPr>
        <w:t xml:space="preserve"> tariffs in trade of the Customs Union and the EU.</w:t>
      </w:r>
      <w:r>
        <w:rPr>
          <w:szCs w:val="26"/>
          <w:lang w:val="en-US"/>
        </w:rPr>
        <w:t xml:space="preserve"> </w:t>
      </w:r>
      <w:r w:rsidRPr="00E43F24">
        <w:rPr>
          <w:szCs w:val="26"/>
          <w:lang w:val="en-US"/>
        </w:rPr>
        <w:t>One of the most common and popular tools for a</w:t>
      </w:r>
      <w:r w:rsidRPr="00E43F24">
        <w:rPr>
          <w:szCs w:val="26"/>
          <w:lang w:val="en-US"/>
        </w:rPr>
        <w:t>s</w:t>
      </w:r>
      <w:r w:rsidRPr="00E43F24">
        <w:rPr>
          <w:szCs w:val="26"/>
          <w:lang w:val="en-US"/>
        </w:rPr>
        <w:t>sessing the effects of trade agreements is a computational general equilibrium model</w:t>
      </w:r>
      <w:r>
        <w:rPr>
          <w:szCs w:val="26"/>
          <w:lang w:val="en-US"/>
        </w:rPr>
        <w:t>ing</w:t>
      </w:r>
      <w:r w:rsidRPr="00E43F24">
        <w:rPr>
          <w:szCs w:val="26"/>
          <w:lang w:val="en-US"/>
        </w:rPr>
        <w:t xml:space="preserve"> (CGE), </w:t>
      </w:r>
      <w:r>
        <w:rPr>
          <w:szCs w:val="26"/>
          <w:lang w:val="en-US"/>
        </w:rPr>
        <w:t xml:space="preserve">the </w:t>
      </w:r>
      <w:r w:rsidRPr="00E43F24">
        <w:rPr>
          <w:szCs w:val="26"/>
          <w:lang w:val="en-US"/>
        </w:rPr>
        <w:t>structural equation</w:t>
      </w:r>
      <w:r>
        <w:rPr>
          <w:szCs w:val="26"/>
          <w:lang w:val="en-US"/>
        </w:rPr>
        <w:t>s of which</w:t>
      </w:r>
      <w:r w:rsidRPr="00E43F24">
        <w:rPr>
          <w:szCs w:val="26"/>
          <w:lang w:val="en-US"/>
        </w:rPr>
        <w:t xml:space="preserve"> re</w:t>
      </w:r>
      <w:r>
        <w:rPr>
          <w:szCs w:val="26"/>
          <w:lang w:val="en-US"/>
        </w:rPr>
        <w:t>presents</w:t>
      </w:r>
      <w:r w:rsidRPr="00E43F24">
        <w:rPr>
          <w:szCs w:val="26"/>
          <w:lang w:val="en-US"/>
        </w:rPr>
        <w:t xml:space="preserve"> the general equilibrium in all markets</w:t>
      </w:r>
      <w:r>
        <w:rPr>
          <w:szCs w:val="26"/>
          <w:lang w:val="en-US"/>
        </w:rPr>
        <w:t>.</w:t>
      </w:r>
      <w:r w:rsidRPr="00E43F24">
        <w:rPr>
          <w:szCs w:val="26"/>
          <w:lang w:val="en-US"/>
        </w:rPr>
        <w:t xml:space="preserve"> </w:t>
      </w:r>
      <w:r>
        <w:rPr>
          <w:szCs w:val="26"/>
          <w:lang w:val="en-US"/>
        </w:rPr>
        <w:t>Such models</w:t>
      </w:r>
      <w:r w:rsidRPr="00E43F24">
        <w:rPr>
          <w:szCs w:val="26"/>
          <w:lang w:val="en-US"/>
        </w:rPr>
        <w:t xml:space="preserve"> allow </w:t>
      </w:r>
      <w:r>
        <w:rPr>
          <w:szCs w:val="26"/>
          <w:lang w:val="en-US"/>
        </w:rPr>
        <w:t>us</w:t>
      </w:r>
      <w:r w:rsidRPr="00E43F24">
        <w:rPr>
          <w:szCs w:val="26"/>
          <w:lang w:val="en-US"/>
        </w:rPr>
        <w:t xml:space="preserve"> to analyze the effect of various changes in national economy (see Clausing, 2001; Trefler, 2004; Romalis, 2007; Chang, Winters, 2002</w:t>
      </w:r>
      <w:r>
        <w:rPr>
          <w:szCs w:val="26"/>
          <w:lang w:val="en-US"/>
        </w:rPr>
        <w:t>; Egger, 2004</w:t>
      </w:r>
      <w:r w:rsidRPr="00E43F24">
        <w:rPr>
          <w:szCs w:val="26"/>
          <w:lang w:val="en-US"/>
        </w:rPr>
        <w:t>; Magee, 2008; Carrere, 2006; Baier, Bergstrand, 2004; Harris, 2006).</w:t>
      </w:r>
    </w:p>
    <w:p w:rsidR="00BE618C" w:rsidRPr="00E43F24" w:rsidRDefault="00BE618C" w:rsidP="00BE618C">
      <w:pPr>
        <w:ind w:firstLine="708"/>
        <w:rPr>
          <w:szCs w:val="26"/>
          <w:lang w:val="en-US"/>
        </w:rPr>
      </w:pPr>
      <w:r w:rsidRPr="00E43F24">
        <w:rPr>
          <w:szCs w:val="26"/>
          <w:lang w:val="en-US"/>
        </w:rPr>
        <w:t>This paper uses the CGE model Globe v1, proposed</w:t>
      </w:r>
      <w:r>
        <w:rPr>
          <w:szCs w:val="26"/>
          <w:lang w:val="en-US"/>
        </w:rPr>
        <w:t xml:space="preserve"> by</w:t>
      </w:r>
      <w:r w:rsidRPr="00E43F24">
        <w:rPr>
          <w:szCs w:val="26"/>
          <w:lang w:val="en-US"/>
        </w:rPr>
        <w:t xml:space="preserve"> McDonald, Thierfelder, </w:t>
      </w:r>
      <w:proofErr w:type="gramStart"/>
      <w:r w:rsidRPr="00E43F24">
        <w:rPr>
          <w:szCs w:val="26"/>
          <w:lang w:val="en-US"/>
        </w:rPr>
        <w:t>Ro</w:t>
      </w:r>
      <w:r w:rsidRPr="00E43F24">
        <w:rPr>
          <w:szCs w:val="26"/>
          <w:lang w:val="en-US"/>
        </w:rPr>
        <w:t>b</w:t>
      </w:r>
      <w:r w:rsidRPr="00E43F24">
        <w:rPr>
          <w:szCs w:val="26"/>
          <w:lang w:val="en-US"/>
        </w:rPr>
        <w:t>inson</w:t>
      </w:r>
      <w:proofErr w:type="gramEnd"/>
      <w:r w:rsidRPr="00E43F24">
        <w:rPr>
          <w:szCs w:val="26"/>
          <w:lang w:val="en-US"/>
        </w:rPr>
        <w:t xml:space="preserve"> in 2007</w:t>
      </w:r>
      <w:r>
        <w:rPr>
          <w:szCs w:val="26"/>
          <w:lang w:val="en-US"/>
        </w:rPr>
        <w:t>.</w:t>
      </w:r>
      <w:r w:rsidRPr="00E43F24">
        <w:rPr>
          <w:szCs w:val="26"/>
          <w:lang w:val="en-US"/>
        </w:rPr>
        <w:t xml:space="preserve"> </w:t>
      </w:r>
      <w:r>
        <w:rPr>
          <w:szCs w:val="26"/>
          <w:lang w:val="en-US"/>
        </w:rPr>
        <w:t>D</w:t>
      </w:r>
      <w:r w:rsidRPr="00E43F24">
        <w:rPr>
          <w:szCs w:val="26"/>
          <w:lang w:val="en-US"/>
        </w:rPr>
        <w:t xml:space="preserve">etailed description of this model and the necessary data for </w:t>
      </w:r>
      <w:r>
        <w:rPr>
          <w:szCs w:val="26"/>
          <w:lang w:val="en-US"/>
        </w:rPr>
        <w:t>are discussed</w:t>
      </w:r>
      <w:r w:rsidRPr="00E43F24">
        <w:rPr>
          <w:szCs w:val="26"/>
          <w:lang w:val="en-US"/>
        </w:rPr>
        <w:t xml:space="preserve"> in </w:t>
      </w:r>
      <w:r w:rsidRPr="00E43F24">
        <w:rPr>
          <w:szCs w:val="26"/>
          <w:lang w:val="en-US"/>
        </w:rPr>
        <w:lastRenderedPageBreak/>
        <w:t xml:space="preserve">the </w:t>
      </w:r>
      <w:r>
        <w:rPr>
          <w:szCs w:val="26"/>
          <w:lang w:val="en-US"/>
        </w:rPr>
        <w:t>papers</w:t>
      </w:r>
      <w:r w:rsidRPr="00E43F24">
        <w:rPr>
          <w:szCs w:val="26"/>
          <w:lang w:val="en-US"/>
        </w:rPr>
        <w:t xml:space="preserve"> (McDonald, 2003</w:t>
      </w:r>
      <w:r>
        <w:rPr>
          <w:szCs w:val="26"/>
          <w:lang w:val="en-US"/>
        </w:rPr>
        <w:t>; McDonald, Sonmez, 2004; McDonald, Thierfelder, 2004</w:t>
      </w:r>
      <w:r w:rsidRPr="00E43F24">
        <w:rPr>
          <w:szCs w:val="26"/>
          <w:lang w:val="en-US"/>
        </w:rPr>
        <w:t xml:space="preserve">; McDonald, Thierfelder, Robinson, </w:t>
      </w:r>
      <w:proofErr w:type="gramStart"/>
      <w:r w:rsidRPr="00E43F24">
        <w:rPr>
          <w:szCs w:val="26"/>
          <w:lang w:val="en-US"/>
        </w:rPr>
        <w:t>2007 )</w:t>
      </w:r>
      <w:proofErr w:type="gramEnd"/>
      <w:r w:rsidRPr="00E43F24">
        <w:rPr>
          <w:szCs w:val="26"/>
          <w:lang w:val="en-US"/>
        </w:rPr>
        <w:t xml:space="preserve"> .</w:t>
      </w:r>
    </w:p>
    <w:p w:rsidR="00BE618C" w:rsidRPr="00E43F24" w:rsidRDefault="00BE618C" w:rsidP="00BE618C">
      <w:pPr>
        <w:ind w:firstLine="708"/>
        <w:rPr>
          <w:szCs w:val="26"/>
          <w:lang w:val="en-US"/>
        </w:rPr>
      </w:pPr>
      <w:r>
        <w:rPr>
          <w:szCs w:val="26"/>
          <w:lang w:val="en-US"/>
        </w:rPr>
        <w:t>We e</w:t>
      </w:r>
      <w:r w:rsidRPr="00E43F24">
        <w:rPr>
          <w:szCs w:val="26"/>
          <w:lang w:val="en-US"/>
        </w:rPr>
        <w:t xml:space="preserve">stimate the effects of </w:t>
      </w:r>
      <w:r>
        <w:rPr>
          <w:szCs w:val="26"/>
          <w:lang w:val="en-US"/>
        </w:rPr>
        <w:t>the</w:t>
      </w:r>
      <w:r w:rsidRPr="00E43F24">
        <w:rPr>
          <w:szCs w:val="26"/>
          <w:lang w:val="en-US"/>
        </w:rPr>
        <w:t xml:space="preserve"> free trade </w:t>
      </w:r>
      <w:r>
        <w:rPr>
          <w:szCs w:val="26"/>
          <w:lang w:val="en-US"/>
        </w:rPr>
        <w:t>agreement</w:t>
      </w:r>
      <w:r w:rsidRPr="00E43F24">
        <w:rPr>
          <w:szCs w:val="26"/>
          <w:lang w:val="en-US"/>
        </w:rPr>
        <w:t xml:space="preserve"> on the economy of the countries participating in the agreement, both at</w:t>
      </w:r>
      <w:r>
        <w:rPr>
          <w:szCs w:val="26"/>
          <w:lang w:val="en-US"/>
        </w:rPr>
        <w:t xml:space="preserve"> the level of the whole economy</w:t>
      </w:r>
      <w:r w:rsidRPr="00E43F24">
        <w:rPr>
          <w:szCs w:val="26"/>
          <w:lang w:val="en-US"/>
        </w:rPr>
        <w:t xml:space="preserve">, and on the sectoral level. </w:t>
      </w:r>
      <w:r>
        <w:rPr>
          <w:szCs w:val="26"/>
          <w:lang w:val="en-US"/>
        </w:rPr>
        <w:t xml:space="preserve">We also made an </w:t>
      </w:r>
      <w:r w:rsidRPr="00E43F24">
        <w:rPr>
          <w:szCs w:val="26"/>
          <w:lang w:val="en-US"/>
        </w:rPr>
        <w:t>analysis of the</w:t>
      </w:r>
      <w:r>
        <w:rPr>
          <w:szCs w:val="26"/>
          <w:lang w:val="en-US"/>
        </w:rPr>
        <w:t xml:space="preserve"> </w:t>
      </w:r>
      <w:r w:rsidRPr="00E43F24">
        <w:rPr>
          <w:szCs w:val="26"/>
          <w:lang w:val="en-US"/>
        </w:rPr>
        <w:t xml:space="preserve">results sensitivity to changes in the </w:t>
      </w:r>
      <w:r>
        <w:rPr>
          <w:szCs w:val="26"/>
          <w:lang w:val="en-US"/>
        </w:rPr>
        <w:t xml:space="preserve">model </w:t>
      </w:r>
      <w:r w:rsidRPr="00E43F24">
        <w:rPr>
          <w:szCs w:val="26"/>
          <w:lang w:val="en-US"/>
        </w:rPr>
        <w:t>param</w:t>
      </w:r>
      <w:r w:rsidRPr="00E43F24">
        <w:rPr>
          <w:szCs w:val="26"/>
          <w:lang w:val="en-US"/>
        </w:rPr>
        <w:t>e</w:t>
      </w:r>
      <w:r w:rsidRPr="00E43F24">
        <w:rPr>
          <w:szCs w:val="26"/>
          <w:lang w:val="en-US"/>
        </w:rPr>
        <w:t>ters. These results suggest that the cumulative effect of</w:t>
      </w:r>
      <w:r>
        <w:rPr>
          <w:szCs w:val="26"/>
          <w:lang w:val="en-US"/>
        </w:rPr>
        <w:t xml:space="preserve"> the FTA on Russia's GDP is 0.8</w:t>
      </w:r>
      <w:r w:rsidRPr="00E43F24">
        <w:rPr>
          <w:szCs w:val="26"/>
          <w:lang w:val="en-US"/>
        </w:rPr>
        <w:t>% in the short</w:t>
      </w:r>
      <w:r>
        <w:rPr>
          <w:szCs w:val="26"/>
          <w:lang w:val="en-US"/>
        </w:rPr>
        <w:t xml:space="preserve"> run</w:t>
      </w:r>
      <w:r w:rsidRPr="00E43F24">
        <w:rPr>
          <w:szCs w:val="26"/>
          <w:lang w:val="en-US"/>
        </w:rPr>
        <w:t xml:space="preserve"> (</w:t>
      </w:r>
      <w:r>
        <w:rPr>
          <w:szCs w:val="26"/>
          <w:lang w:val="en-US"/>
        </w:rPr>
        <w:t>in absolute terms</w:t>
      </w:r>
      <w:r w:rsidRPr="00E43F24">
        <w:rPr>
          <w:szCs w:val="26"/>
          <w:lang w:val="en-US"/>
        </w:rPr>
        <w:t xml:space="preserve"> is about $</w:t>
      </w:r>
      <w:r>
        <w:rPr>
          <w:szCs w:val="26"/>
          <w:lang w:val="en-US"/>
        </w:rPr>
        <w:t>15 billion</w:t>
      </w:r>
      <w:r w:rsidRPr="00E43F24">
        <w:rPr>
          <w:szCs w:val="26"/>
          <w:lang w:val="en-US"/>
        </w:rPr>
        <w:t xml:space="preserve">), and </w:t>
      </w:r>
      <w:r>
        <w:rPr>
          <w:szCs w:val="26"/>
          <w:lang w:val="en-US"/>
        </w:rPr>
        <w:t xml:space="preserve">is </w:t>
      </w:r>
      <w:r w:rsidRPr="00E43F24">
        <w:rPr>
          <w:szCs w:val="26"/>
          <w:lang w:val="en-US"/>
        </w:rPr>
        <w:t xml:space="preserve">2.0 % in </w:t>
      </w:r>
      <w:r>
        <w:rPr>
          <w:szCs w:val="26"/>
          <w:lang w:val="en-US"/>
        </w:rPr>
        <w:t>the long run</w:t>
      </w:r>
      <w:r w:rsidRPr="00E43F24">
        <w:rPr>
          <w:szCs w:val="26"/>
          <w:lang w:val="en-US"/>
        </w:rPr>
        <w:t xml:space="preserve"> (about $40 billion</w:t>
      </w:r>
      <w:r>
        <w:rPr>
          <w:szCs w:val="26"/>
          <w:lang w:val="en-US"/>
        </w:rPr>
        <w:t>)</w:t>
      </w:r>
      <w:r w:rsidRPr="00E43F24">
        <w:rPr>
          <w:szCs w:val="26"/>
          <w:lang w:val="en-US"/>
        </w:rPr>
        <w:t xml:space="preserve">. Short-term and long-term impact on the GDP </w:t>
      </w:r>
      <w:r>
        <w:rPr>
          <w:szCs w:val="26"/>
          <w:lang w:val="en-US"/>
        </w:rPr>
        <w:t>of Kazakhst</w:t>
      </w:r>
      <w:r w:rsidR="00FB0DCE">
        <w:rPr>
          <w:szCs w:val="26"/>
          <w:lang w:val="en-US"/>
        </w:rPr>
        <w:t>an are, respectively, 0.6% (~ $</w:t>
      </w:r>
      <w:r>
        <w:rPr>
          <w:szCs w:val="26"/>
          <w:lang w:val="en-US"/>
        </w:rPr>
        <w:t>1 billion</w:t>
      </w:r>
      <w:r w:rsidRPr="00E43F24">
        <w:rPr>
          <w:szCs w:val="26"/>
          <w:lang w:val="en-US"/>
        </w:rPr>
        <w:t>) an</w:t>
      </w:r>
      <w:r w:rsidR="00FB0DCE">
        <w:rPr>
          <w:szCs w:val="26"/>
          <w:lang w:val="en-US"/>
        </w:rPr>
        <w:t>d 1.2 % (~ $2 billion</w:t>
      </w:r>
      <w:proofErr w:type="gramStart"/>
      <w:r w:rsidRPr="00E43F24">
        <w:rPr>
          <w:szCs w:val="26"/>
          <w:lang w:val="en-US"/>
        </w:rPr>
        <w:t>) .</w:t>
      </w:r>
      <w:proofErr w:type="gramEnd"/>
      <w:r w:rsidRPr="00E43F24">
        <w:rPr>
          <w:szCs w:val="26"/>
          <w:lang w:val="en-US"/>
        </w:rPr>
        <w:t xml:space="preserve"> In contrast to the economies of Russia and Kazak</w:t>
      </w:r>
      <w:r w:rsidRPr="00E43F24">
        <w:rPr>
          <w:szCs w:val="26"/>
          <w:lang w:val="en-US"/>
        </w:rPr>
        <w:t>h</w:t>
      </w:r>
      <w:r w:rsidRPr="00E43F24">
        <w:rPr>
          <w:szCs w:val="26"/>
          <w:lang w:val="en-US"/>
        </w:rPr>
        <w:t>stan, the impact on the e</w:t>
      </w:r>
      <w:r>
        <w:rPr>
          <w:szCs w:val="26"/>
          <w:lang w:val="en-US"/>
        </w:rPr>
        <w:t>conomy of Belarus, as it was expected, will not be positive</w:t>
      </w:r>
      <w:r w:rsidRPr="00E43F24">
        <w:rPr>
          <w:szCs w:val="26"/>
          <w:lang w:val="en-US"/>
        </w:rPr>
        <w:t>. Belarus GDP</w:t>
      </w:r>
      <w:r>
        <w:rPr>
          <w:szCs w:val="26"/>
          <w:lang w:val="en-US"/>
        </w:rPr>
        <w:t xml:space="preserve"> will</w:t>
      </w:r>
      <w:r w:rsidRPr="00E43F24">
        <w:rPr>
          <w:szCs w:val="26"/>
          <w:lang w:val="en-US"/>
        </w:rPr>
        <w:t xml:space="preserve"> </w:t>
      </w:r>
      <w:r>
        <w:rPr>
          <w:szCs w:val="26"/>
          <w:lang w:val="en-US"/>
        </w:rPr>
        <w:t>decline by 0.6% (</w:t>
      </w:r>
      <w:r w:rsidRPr="00E43F24">
        <w:rPr>
          <w:szCs w:val="26"/>
          <w:lang w:val="en-US"/>
        </w:rPr>
        <w:t xml:space="preserve">about 400 million dollars) in the short </w:t>
      </w:r>
      <w:r>
        <w:rPr>
          <w:szCs w:val="26"/>
          <w:lang w:val="en-US"/>
        </w:rPr>
        <w:t>run</w:t>
      </w:r>
      <w:r w:rsidRPr="00E43F24">
        <w:rPr>
          <w:szCs w:val="26"/>
          <w:lang w:val="en-US"/>
        </w:rPr>
        <w:t xml:space="preserve"> and </w:t>
      </w:r>
      <w:r>
        <w:rPr>
          <w:szCs w:val="26"/>
          <w:lang w:val="en-US"/>
        </w:rPr>
        <w:t xml:space="preserve">will </w:t>
      </w:r>
      <w:r w:rsidRPr="00E43F24">
        <w:rPr>
          <w:szCs w:val="26"/>
          <w:lang w:val="en-US"/>
        </w:rPr>
        <w:t xml:space="preserve">reach the </w:t>
      </w:r>
      <w:r>
        <w:rPr>
          <w:szCs w:val="26"/>
          <w:lang w:val="en-US"/>
        </w:rPr>
        <w:t>pre-FTA-</w:t>
      </w:r>
      <w:r w:rsidRPr="00E43F24">
        <w:rPr>
          <w:szCs w:val="26"/>
          <w:lang w:val="en-US"/>
        </w:rPr>
        <w:t xml:space="preserve">level </w:t>
      </w:r>
      <w:r>
        <w:rPr>
          <w:szCs w:val="26"/>
          <w:lang w:val="en-US"/>
        </w:rPr>
        <w:t xml:space="preserve">in </w:t>
      </w:r>
      <w:r w:rsidRPr="00E43F24">
        <w:rPr>
          <w:szCs w:val="26"/>
          <w:lang w:val="en-US"/>
        </w:rPr>
        <w:t>the lo</w:t>
      </w:r>
      <w:r>
        <w:rPr>
          <w:szCs w:val="26"/>
          <w:lang w:val="en-US"/>
        </w:rPr>
        <w:t>ng run. EU GDP will grow by 0.1</w:t>
      </w:r>
      <w:r w:rsidRPr="00E43F24">
        <w:rPr>
          <w:szCs w:val="26"/>
          <w:lang w:val="en-US"/>
        </w:rPr>
        <w:t>%</w:t>
      </w:r>
      <w:r>
        <w:rPr>
          <w:szCs w:val="26"/>
          <w:lang w:val="en-US"/>
        </w:rPr>
        <w:t xml:space="preserve"> (~ $15 billion) in the short run and by 0.2% </w:t>
      </w:r>
      <w:r w:rsidRPr="00E43F24">
        <w:rPr>
          <w:szCs w:val="26"/>
          <w:lang w:val="en-US"/>
        </w:rPr>
        <w:t>in the long</w:t>
      </w:r>
      <w:r>
        <w:rPr>
          <w:szCs w:val="26"/>
          <w:lang w:val="en-US"/>
        </w:rPr>
        <w:t xml:space="preserve"> run (~ $30 billion)</w:t>
      </w:r>
      <w:r w:rsidRPr="00E43F24">
        <w:rPr>
          <w:szCs w:val="26"/>
          <w:lang w:val="en-US"/>
        </w:rPr>
        <w:t xml:space="preserve">. Thus, both in relative and in absolute terms, Russia is potentially benefit </w:t>
      </w:r>
      <w:r>
        <w:rPr>
          <w:szCs w:val="26"/>
          <w:lang w:val="en-US"/>
        </w:rPr>
        <w:t>more than the EU</w:t>
      </w:r>
      <w:r w:rsidRPr="00E43F24">
        <w:rPr>
          <w:szCs w:val="26"/>
          <w:lang w:val="en-US"/>
        </w:rPr>
        <w:t xml:space="preserve"> from </w:t>
      </w:r>
      <w:r>
        <w:rPr>
          <w:szCs w:val="26"/>
          <w:lang w:val="en-US"/>
        </w:rPr>
        <w:t>this</w:t>
      </w:r>
      <w:r w:rsidRPr="00E43F24">
        <w:rPr>
          <w:szCs w:val="26"/>
          <w:lang w:val="en-US"/>
        </w:rPr>
        <w:t xml:space="preserve"> </w:t>
      </w:r>
      <w:r>
        <w:rPr>
          <w:szCs w:val="26"/>
          <w:lang w:val="en-US"/>
        </w:rPr>
        <w:t>free trade agreement</w:t>
      </w:r>
      <w:r w:rsidRPr="00E43F24">
        <w:rPr>
          <w:szCs w:val="26"/>
          <w:lang w:val="en-US"/>
        </w:rPr>
        <w:t>.</w:t>
      </w:r>
    </w:p>
    <w:p w:rsidR="00BE618C" w:rsidRDefault="00BE618C" w:rsidP="00BE618C">
      <w:pPr>
        <w:ind w:firstLine="708"/>
        <w:rPr>
          <w:szCs w:val="26"/>
          <w:lang w:val="en-US"/>
        </w:rPr>
      </w:pPr>
      <w:r>
        <w:rPr>
          <w:szCs w:val="26"/>
          <w:lang w:val="en-US"/>
        </w:rPr>
        <w:t>We also e</w:t>
      </w:r>
      <w:r w:rsidRPr="00E43F24">
        <w:rPr>
          <w:szCs w:val="26"/>
          <w:lang w:val="en-US"/>
        </w:rPr>
        <w:t xml:space="preserve">stimate the effects of </w:t>
      </w:r>
      <w:r>
        <w:rPr>
          <w:szCs w:val="26"/>
          <w:lang w:val="en-US"/>
        </w:rPr>
        <w:t>the</w:t>
      </w:r>
      <w:r w:rsidRPr="00E43F24">
        <w:rPr>
          <w:szCs w:val="26"/>
          <w:lang w:val="en-US"/>
        </w:rPr>
        <w:t xml:space="preserve"> free trade </w:t>
      </w:r>
      <w:r>
        <w:rPr>
          <w:szCs w:val="26"/>
          <w:lang w:val="en-US"/>
        </w:rPr>
        <w:t>agreement</w:t>
      </w:r>
      <w:r w:rsidRPr="00E43F24">
        <w:rPr>
          <w:szCs w:val="26"/>
          <w:lang w:val="en-US"/>
        </w:rPr>
        <w:t xml:space="preserve"> on </w:t>
      </w:r>
      <w:r>
        <w:rPr>
          <w:szCs w:val="26"/>
          <w:lang w:val="en-US"/>
        </w:rPr>
        <w:t>the economic</w:t>
      </w:r>
      <w:r w:rsidRPr="00E43F24">
        <w:rPr>
          <w:szCs w:val="26"/>
          <w:lang w:val="en-US"/>
        </w:rPr>
        <w:t xml:space="preserve"> </w:t>
      </w:r>
      <w:r>
        <w:rPr>
          <w:szCs w:val="26"/>
          <w:lang w:val="en-US"/>
        </w:rPr>
        <w:t xml:space="preserve">industries in </w:t>
      </w:r>
      <w:r w:rsidRPr="00E43F24">
        <w:rPr>
          <w:szCs w:val="26"/>
          <w:lang w:val="en-US"/>
        </w:rPr>
        <w:t>the countries participating in the agreement</w:t>
      </w:r>
      <w:r>
        <w:rPr>
          <w:szCs w:val="26"/>
          <w:lang w:val="en-US"/>
        </w:rPr>
        <w:t>. We divide all economic industries to 15 su</w:t>
      </w:r>
      <w:r>
        <w:rPr>
          <w:szCs w:val="26"/>
          <w:lang w:val="en-US"/>
        </w:rPr>
        <w:t>b</w:t>
      </w:r>
      <w:r>
        <w:rPr>
          <w:szCs w:val="26"/>
          <w:lang w:val="en-US"/>
        </w:rPr>
        <w:t>aggregated groups, for which we estimate the effects of the FTA in terms of production, h</w:t>
      </w:r>
      <w:r w:rsidRPr="00E43F24">
        <w:rPr>
          <w:szCs w:val="26"/>
          <w:lang w:val="en-US"/>
        </w:rPr>
        <w:t>ousehold consumption</w:t>
      </w:r>
      <w:r>
        <w:rPr>
          <w:szCs w:val="26"/>
          <w:lang w:val="en-US"/>
        </w:rPr>
        <w:t xml:space="preserve">, </w:t>
      </w:r>
      <w:r w:rsidR="00FB0DCE">
        <w:rPr>
          <w:szCs w:val="26"/>
          <w:lang w:val="en-US"/>
        </w:rPr>
        <w:t>imports</w:t>
      </w:r>
      <w:r>
        <w:rPr>
          <w:szCs w:val="26"/>
          <w:lang w:val="en-US"/>
        </w:rPr>
        <w:t xml:space="preserve">, </w:t>
      </w:r>
      <w:r w:rsidR="00FB0DCE">
        <w:rPr>
          <w:szCs w:val="26"/>
          <w:lang w:val="en-US"/>
        </w:rPr>
        <w:t>exports</w:t>
      </w:r>
      <w:r>
        <w:rPr>
          <w:szCs w:val="26"/>
          <w:lang w:val="en-US"/>
        </w:rPr>
        <w:t xml:space="preserve"> and employment. </w:t>
      </w:r>
    </w:p>
    <w:p w:rsidR="00BE618C" w:rsidRPr="00E43F24" w:rsidRDefault="00BE618C" w:rsidP="00BE618C">
      <w:pPr>
        <w:ind w:firstLine="708"/>
        <w:rPr>
          <w:szCs w:val="26"/>
          <w:lang w:val="en-US"/>
        </w:rPr>
      </w:pPr>
      <w:r>
        <w:rPr>
          <w:szCs w:val="26"/>
          <w:lang w:val="en-US"/>
        </w:rPr>
        <w:t>In Russia</w:t>
      </w:r>
      <w:r w:rsidRPr="00E43F24">
        <w:rPr>
          <w:szCs w:val="26"/>
          <w:lang w:val="en-US"/>
        </w:rPr>
        <w:t xml:space="preserve"> </w:t>
      </w:r>
      <w:r>
        <w:rPr>
          <w:szCs w:val="26"/>
          <w:lang w:val="en-US"/>
        </w:rPr>
        <w:t>the production</w:t>
      </w:r>
      <w:r w:rsidRPr="00E43F24">
        <w:rPr>
          <w:szCs w:val="26"/>
          <w:lang w:val="en-US"/>
        </w:rPr>
        <w:t xml:space="preserve"> decreases only in two areas</w:t>
      </w:r>
      <w:r>
        <w:rPr>
          <w:szCs w:val="26"/>
          <w:lang w:val="en-US"/>
        </w:rPr>
        <w:t xml:space="preserve"> </w:t>
      </w:r>
      <w:r w:rsidRPr="00E43F24">
        <w:rPr>
          <w:szCs w:val="26"/>
          <w:lang w:val="en-US"/>
        </w:rPr>
        <w:t>in the long run: in the industry of motor vehicles and parts</w:t>
      </w:r>
      <w:r>
        <w:rPr>
          <w:szCs w:val="26"/>
          <w:lang w:val="en-US"/>
        </w:rPr>
        <w:t xml:space="preserve"> and in the</w:t>
      </w:r>
      <w:r w:rsidRPr="00E43F24">
        <w:rPr>
          <w:szCs w:val="26"/>
          <w:lang w:val="en-US"/>
        </w:rPr>
        <w:t xml:space="preserve"> industry </w:t>
      </w:r>
      <w:r>
        <w:rPr>
          <w:szCs w:val="26"/>
          <w:lang w:val="en-US"/>
        </w:rPr>
        <w:t xml:space="preserve">of wood </w:t>
      </w:r>
      <w:r w:rsidRPr="00E43F24">
        <w:rPr>
          <w:szCs w:val="26"/>
          <w:lang w:val="en-US"/>
        </w:rPr>
        <w:t>products and paper. A similar pa</w:t>
      </w:r>
      <w:r w:rsidRPr="00E43F24">
        <w:rPr>
          <w:szCs w:val="26"/>
          <w:lang w:val="en-US"/>
        </w:rPr>
        <w:t>t</w:t>
      </w:r>
      <w:r w:rsidRPr="00E43F24">
        <w:rPr>
          <w:szCs w:val="26"/>
          <w:lang w:val="en-US"/>
        </w:rPr>
        <w:t xml:space="preserve">tern is observed for Kazakhstan. </w:t>
      </w:r>
      <w:r>
        <w:rPr>
          <w:szCs w:val="26"/>
          <w:lang w:val="en-US"/>
        </w:rPr>
        <w:t>I</w:t>
      </w:r>
      <w:r w:rsidRPr="00E43F24">
        <w:rPr>
          <w:szCs w:val="26"/>
          <w:lang w:val="en-US"/>
        </w:rPr>
        <w:t xml:space="preserve">n Belarus, except </w:t>
      </w:r>
      <w:r>
        <w:rPr>
          <w:szCs w:val="26"/>
          <w:lang w:val="en-US"/>
        </w:rPr>
        <w:t xml:space="preserve">of </w:t>
      </w:r>
      <w:r w:rsidRPr="00E43F24">
        <w:rPr>
          <w:szCs w:val="26"/>
          <w:lang w:val="en-US"/>
        </w:rPr>
        <w:t>these two industries</w:t>
      </w:r>
      <w:r>
        <w:rPr>
          <w:szCs w:val="26"/>
          <w:lang w:val="en-US"/>
        </w:rPr>
        <w:t>, the production</w:t>
      </w:r>
      <w:r w:rsidRPr="00E43F24">
        <w:rPr>
          <w:szCs w:val="26"/>
          <w:lang w:val="en-US"/>
        </w:rPr>
        <w:t xml:space="preserve"> will decrease in agriculture, </w:t>
      </w:r>
      <w:r>
        <w:rPr>
          <w:szCs w:val="26"/>
          <w:lang w:val="en-US"/>
        </w:rPr>
        <w:t>food</w:t>
      </w:r>
      <w:r w:rsidRPr="00E43F24">
        <w:rPr>
          <w:szCs w:val="26"/>
          <w:lang w:val="en-US"/>
        </w:rPr>
        <w:t xml:space="preserve"> in</w:t>
      </w:r>
      <w:r>
        <w:rPr>
          <w:szCs w:val="26"/>
          <w:lang w:val="en-US"/>
        </w:rPr>
        <w:t>dustries, as well as in manufacturing</w:t>
      </w:r>
      <w:r w:rsidRPr="00E43F24">
        <w:rPr>
          <w:szCs w:val="26"/>
          <w:lang w:val="en-US"/>
        </w:rPr>
        <w:t xml:space="preserve">. </w:t>
      </w:r>
      <w:r>
        <w:rPr>
          <w:szCs w:val="26"/>
          <w:lang w:val="en-US"/>
        </w:rPr>
        <w:t>The production in the</w:t>
      </w:r>
      <w:r w:rsidRPr="00E43F24">
        <w:rPr>
          <w:szCs w:val="26"/>
          <w:lang w:val="en-US"/>
        </w:rPr>
        <w:t xml:space="preserve"> EU decreased only in the sector of minerals, both in the short and in the long </w:t>
      </w:r>
      <w:r>
        <w:rPr>
          <w:szCs w:val="26"/>
          <w:lang w:val="en-US"/>
        </w:rPr>
        <w:t>run</w:t>
      </w:r>
      <w:r w:rsidRPr="00E43F24">
        <w:rPr>
          <w:szCs w:val="26"/>
          <w:lang w:val="en-US"/>
        </w:rPr>
        <w:t>.</w:t>
      </w:r>
    </w:p>
    <w:p w:rsidR="00BE618C" w:rsidRPr="00E43F24" w:rsidRDefault="00BE618C" w:rsidP="00BE618C">
      <w:pPr>
        <w:ind w:firstLine="708"/>
        <w:rPr>
          <w:szCs w:val="26"/>
          <w:lang w:val="en-US"/>
        </w:rPr>
      </w:pPr>
      <w:r w:rsidRPr="00E43F24">
        <w:rPr>
          <w:szCs w:val="26"/>
          <w:lang w:val="en-US"/>
        </w:rPr>
        <w:t xml:space="preserve">Household consumption in Russia and Kazakhstan as a result of the abolition of </w:t>
      </w:r>
      <w:r w:rsidR="00FB0DCE">
        <w:rPr>
          <w:szCs w:val="26"/>
          <w:lang w:val="en-US"/>
        </w:rPr>
        <w:t>i</w:t>
      </w:r>
      <w:r w:rsidR="00FB0DCE">
        <w:rPr>
          <w:szCs w:val="26"/>
          <w:lang w:val="en-US"/>
        </w:rPr>
        <w:t>m</w:t>
      </w:r>
      <w:r w:rsidR="00FB0DCE">
        <w:rPr>
          <w:szCs w:val="26"/>
          <w:lang w:val="en-US"/>
        </w:rPr>
        <w:t>ports</w:t>
      </w:r>
      <w:r w:rsidRPr="00E43F24">
        <w:rPr>
          <w:szCs w:val="26"/>
          <w:lang w:val="en-US"/>
        </w:rPr>
        <w:t xml:space="preserve"> duties will increase i</w:t>
      </w:r>
      <w:r>
        <w:rPr>
          <w:szCs w:val="26"/>
          <w:lang w:val="en-US"/>
        </w:rPr>
        <w:t>n all sectors in the short run</w:t>
      </w:r>
      <w:r w:rsidRPr="00E43F24">
        <w:rPr>
          <w:szCs w:val="26"/>
          <w:lang w:val="en-US"/>
        </w:rPr>
        <w:t xml:space="preserve">. In the long </w:t>
      </w:r>
      <w:r>
        <w:rPr>
          <w:szCs w:val="26"/>
          <w:lang w:val="en-US"/>
        </w:rPr>
        <w:t>run</w:t>
      </w:r>
      <w:r w:rsidRPr="00E43F24">
        <w:rPr>
          <w:szCs w:val="26"/>
          <w:lang w:val="en-US"/>
        </w:rPr>
        <w:t>, this growth in co</w:t>
      </w:r>
      <w:r w:rsidRPr="00E43F24">
        <w:rPr>
          <w:szCs w:val="26"/>
          <w:lang w:val="en-US"/>
        </w:rPr>
        <w:t>n</w:t>
      </w:r>
      <w:r w:rsidRPr="00E43F24">
        <w:rPr>
          <w:szCs w:val="26"/>
          <w:lang w:val="en-US"/>
        </w:rPr>
        <w:t xml:space="preserve">sumption will </w:t>
      </w:r>
      <w:r>
        <w:rPr>
          <w:szCs w:val="26"/>
          <w:lang w:val="en-US"/>
        </w:rPr>
        <w:t>be even more</w:t>
      </w:r>
      <w:r w:rsidRPr="00E43F24">
        <w:rPr>
          <w:szCs w:val="26"/>
          <w:lang w:val="en-US"/>
        </w:rPr>
        <w:t xml:space="preserve">. </w:t>
      </w:r>
      <w:r>
        <w:rPr>
          <w:szCs w:val="26"/>
          <w:lang w:val="en-US"/>
        </w:rPr>
        <w:t>T</w:t>
      </w:r>
      <w:r w:rsidRPr="00E43F24">
        <w:rPr>
          <w:szCs w:val="26"/>
          <w:lang w:val="en-US"/>
        </w:rPr>
        <w:t xml:space="preserve">his growth can be </w:t>
      </w:r>
      <w:r>
        <w:rPr>
          <w:szCs w:val="26"/>
          <w:lang w:val="en-US"/>
        </w:rPr>
        <w:t xml:space="preserve">explained by </w:t>
      </w:r>
      <w:r w:rsidRPr="00E43F24">
        <w:rPr>
          <w:szCs w:val="26"/>
          <w:lang w:val="en-US"/>
        </w:rPr>
        <w:t xml:space="preserve">two effects: the price effect and </w:t>
      </w:r>
      <w:r>
        <w:rPr>
          <w:szCs w:val="26"/>
          <w:lang w:val="en-US"/>
        </w:rPr>
        <w:t xml:space="preserve">the </w:t>
      </w:r>
      <w:r w:rsidRPr="00E43F24">
        <w:rPr>
          <w:szCs w:val="26"/>
          <w:lang w:val="en-US"/>
        </w:rPr>
        <w:t>income</w:t>
      </w:r>
      <w:r>
        <w:rPr>
          <w:szCs w:val="26"/>
          <w:lang w:val="en-US"/>
        </w:rPr>
        <w:t xml:space="preserve"> effect</w:t>
      </w:r>
      <w:r w:rsidRPr="00E43F24">
        <w:rPr>
          <w:szCs w:val="26"/>
          <w:lang w:val="en-US"/>
        </w:rPr>
        <w:t xml:space="preserve">. In those sectors </w:t>
      </w:r>
      <w:r>
        <w:rPr>
          <w:szCs w:val="26"/>
          <w:lang w:val="en-US"/>
        </w:rPr>
        <w:t>where</w:t>
      </w:r>
      <w:r w:rsidRPr="00E43F24">
        <w:rPr>
          <w:szCs w:val="26"/>
          <w:lang w:val="en-US"/>
        </w:rPr>
        <w:t xml:space="preserve"> there is </w:t>
      </w:r>
      <w:r>
        <w:rPr>
          <w:szCs w:val="26"/>
          <w:lang w:val="en-US"/>
        </w:rPr>
        <w:t xml:space="preserve">a </w:t>
      </w:r>
      <w:r w:rsidRPr="00E43F24">
        <w:rPr>
          <w:szCs w:val="26"/>
          <w:lang w:val="en-US"/>
        </w:rPr>
        <w:t>substitution of domes</w:t>
      </w:r>
      <w:r>
        <w:rPr>
          <w:szCs w:val="26"/>
          <w:lang w:val="en-US"/>
        </w:rPr>
        <w:t>tic goods with imported goods</w:t>
      </w:r>
      <w:r w:rsidRPr="00E43F24">
        <w:rPr>
          <w:szCs w:val="26"/>
          <w:lang w:val="en-US"/>
        </w:rPr>
        <w:t xml:space="preserve">, </w:t>
      </w:r>
      <w:r>
        <w:rPr>
          <w:szCs w:val="26"/>
          <w:lang w:val="en-US"/>
        </w:rPr>
        <w:t>the domestic price of goods will decrease</w:t>
      </w:r>
      <w:r w:rsidRPr="00E43F24">
        <w:rPr>
          <w:szCs w:val="26"/>
          <w:lang w:val="en-US"/>
        </w:rPr>
        <w:t>. For these industries, the growth of consumption are causing</w:t>
      </w:r>
      <w:r>
        <w:rPr>
          <w:szCs w:val="26"/>
          <w:lang w:val="en-US"/>
        </w:rPr>
        <w:t xml:space="preserve"> by</w:t>
      </w:r>
      <w:r w:rsidRPr="00E43F24">
        <w:rPr>
          <w:szCs w:val="26"/>
          <w:lang w:val="en-US"/>
        </w:rPr>
        <w:t xml:space="preserve"> both effects. In other industries, where domestic </w:t>
      </w:r>
      <w:r>
        <w:rPr>
          <w:szCs w:val="26"/>
          <w:lang w:val="en-US"/>
        </w:rPr>
        <w:t xml:space="preserve">goods are not substituted by </w:t>
      </w:r>
      <w:r w:rsidRPr="00E43F24">
        <w:rPr>
          <w:szCs w:val="26"/>
          <w:lang w:val="en-US"/>
        </w:rPr>
        <w:t>imported</w:t>
      </w:r>
      <w:r>
        <w:rPr>
          <w:szCs w:val="26"/>
          <w:lang w:val="en-US"/>
        </w:rPr>
        <w:t xml:space="preserve"> goods,</w:t>
      </w:r>
      <w:r w:rsidRPr="00E43F24">
        <w:rPr>
          <w:szCs w:val="26"/>
          <w:lang w:val="en-US"/>
        </w:rPr>
        <w:t xml:space="preserve"> consumption growth is due only to the income effect. In these industries, commodity price </w:t>
      </w:r>
      <w:r>
        <w:rPr>
          <w:szCs w:val="26"/>
          <w:lang w:val="en-US"/>
        </w:rPr>
        <w:t xml:space="preserve">increase, </w:t>
      </w:r>
      <w:r w:rsidRPr="00E43F24">
        <w:rPr>
          <w:szCs w:val="26"/>
          <w:lang w:val="en-US"/>
        </w:rPr>
        <w:t>as a result of growing demand</w:t>
      </w:r>
      <w:r>
        <w:rPr>
          <w:szCs w:val="26"/>
          <w:lang w:val="en-US"/>
        </w:rPr>
        <w:t>.</w:t>
      </w:r>
      <w:r w:rsidRPr="00E43F24">
        <w:rPr>
          <w:szCs w:val="26"/>
          <w:lang w:val="en-US"/>
        </w:rPr>
        <w:t xml:space="preserve"> </w:t>
      </w:r>
      <w:r>
        <w:rPr>
          <w:szCs w:val="26"/>
          <w:lang w:val="en-US"/>
        </w:rPr>
        <w:t>T</w:t>
      </w:r>
      <w:r w:rsidRPr="00E43F24">
        <w:rPr>
          <w:szCs w:val="26"/>
          <w:lang w:val="en-US"/>
        </w:rPr>
        <w:t xml:space="preserve">herefore, the </w:t>
      </w:r>
      <w:r w:rsidRPr="00E43F24">
        <w:rPr>
          <w:szCs w:val="26"/>
          <w:lang w:val="en-US"/>
        </w:rPr>
        <w:lastRenderedPageBreak/>
        <w:t xml:space="preserve">price effect is the opposite </w:t>
      </w:r>
      <w:proofErr w:type="gramStart"/>
      <w:r>
        <w:rPr>
          <w:szCs w:val="26"/>
          <w:lang w:val="en-US"/>
        </w:rPr>
        <w:t>to</w:t>
      </w:r>
      <w:proofErr w:type="gramEnd"/>
      <w:r>
        <w:rPr>
          <w:szCs w:val="26"/>
          <w:lang w:val="en-US"/>
        </w:rPr>
        <w:t xml:space="preserve"> the income </w:t>
      </w:r>
      <w:r w:rsidRPr="00E43F24">
        <w:rPr>
          <w:szCs w:val="26"/>
          <w:lang w:val="en-US"/>
        </w:rPr>
        <w:t>effect. However, the predominant of these two</w:t>
      </w:r>
      <w:r>
        <w:rPr>
          <w:szCs w:val="26"/>
          <w:lang w:val="en-US"/>
        </w:rPr>
        <w:t xml:space="preserve"> e</w:t>
      </w:r>
      <w:r>
        <w:rPr>
          <w:szCs w:val="26"/>
          <w:lang w:val="en-US"/>
        </w:rPr>
        <w:t>f</w:t>
      </w:r>
      <w:r>
        <w:rPr>
          <w:szCs w:val="26"/>
          <w:lang w:val="en-US"/>
        </w:rPr>
        <w:t>fects is the income effect.</w:t>
      </w:r>
    </w:p>
    <w:p w:rsidR="00BE618C" w:rsidRPr="00E43F24" w:rsidRDefault="00BE618C" w:rsidP="00BE618C">
      <w:pPr>
        <w:ind w:firstLine="708"/>
        <w:rPr>
          <w:szCs w:val="26"/>
          <w:lang w:val="en-US"/>
        </w:rPr>
      </w:pPr>
      <w:r>
        <w:rPr>
          <w:szCs w:val="26"/>
          <w:lang w:val="en-US"/>
        </w:rPr>
        <w:t>Thus</w:t>
      </w:r>
      <w:r w:rsidRPr="00E43F24">
        <w:rPr>
          <w:szCs w:val="26"/>
          <w:lang w:val="en-US"/>
        </w:rPr>
        <w:t xml:space="preserve">, the </w:t>
      </w:r>
      <w:proofErr w:type="gramStart"/>
      <w:r w:rsidRPr="00E43F24">
        <w:rPr>
          <w:szCs w:val="26"/>
          <w:lang w:val="en-US"/>
        </w:rPr>
        <w:t xml:space="preserve">formation of an FTA </w:t>
      </w:r>
      <w:r>
        <w:rPr>
          <w:szCs w:val="26"/>
          <w:lang w:val="en-US"/>
        </w:rPr>
        <w:t>have</w:t>
      </w:r>
      <w:proofErr w:type="gramEnd"/>
      <w:r>
        <w:rPr>
          <w:szCs w:val="26"/>
          <w:lang w:val="en-US"/>
        </w:rPr>
        <w:t xml:space="preserve"> </w:t>
      </w:r>
      <w:r w:rsidRPr="00E43F24">
        <w:rPr>
          <w:szCs w:val="26"/>
          <w:lang w:val="en-US"/>
        </w:rPr>
        <w:t xml:space="preserve">positive impact on households consumption </w:t>
      </w:r>
      <w:r>
        <w:rPr>
          <w:szCs w:val="26"/>
          <w:lang w:val="en-US"/>
        </w:rPr>
        <w:t>in Russia and Kazakhstan</w:t>
      </w:r>
      <w:r w:rsidRPr="00E43F24">
        <w:rPr>
          <w:szCs w:val="26"/>
          <w:lang w:val="en-US"/>
        </w:rPr>
        <w:t xml:space="preserve">. Household consumption </w:t>
      </w:r>
      <w:r>
        <w:rPr>
          <w:szCs w:val="26"/>
          <w:lang w:val="en-US"/>
        </w:rPr>
        <w:t xml:space="preserve">in </w:t>
      </w:r>
      <w:r w:rsidRPr="00E43F24">
        <w:rPr>
          <w:szCs w:val="26"/>
          <w:lang w:val="en-US"/>
        </w:rPr>
        <w:t xml:space="preserve">the EU will also increase in all sectors, but </w:t>
      </w:r>
      <w:r>
        <w:rPr>
          <w:szCs w:val="26"/>
          <w:lang w:val="en-US"/>
        </w:rPr>
        <w:t>the</w:t>
      </w:r>
      <w:r w:rsidRPr="00E43F24">
        <w:rPr>
          <w:szCs w:val="26"/>
          <w:lang w:val="en-US"/>
        </w:rPr>
        <w:t xml:space="preserve"> percentage </w:t>
      </w:r>
      <w:r>
        <w:rPr>
          <w:szCs w:val="26"/>
          <w:lang w:val="en-US"/>
        </w:rPr>
        <w:t>change</w:t>
      </w:r>
      <w:r w:rsidRPr="00E43F24">
        <w:rPr>
          <w:szCs w:val="26"/>
          <w:lang w:val="en-US"/>
        </w:rPr>
        <w:t xml:space="preserve"> is significantly less than in Russia. Household consumption </w:t>
      </w:r>
      <w:r>
        <w:rPr>
          <w:szCs w:val="26"/>
          <w:lang w:val="en-US"/>
        </w:rPr>
        <w:t xml:space="preserve">in </w:t>
      </w:r>
      <w:r w:rsidRPr="00E43F24">
        <w:rPr>
          <w:szCs w:val="26"/>
          <w:lang w:val="en-US"/>
        </w:rPr>
        <w:t xml:space="preserve">Belarus drops in all sectors, in which the </w:t>
      </w:r>
      <w:r>
        <w:rPr>
          <w:szCs w:val="26"/>
          <w:lang w:val="en-US"/>
        </w:rPr>
        <w:t>production decrease.</w:t>
      </w:r>
    </w:p>
    <w:p w:rsidR="00815176" w:rsidRPr="00FB0DCE" w:rsidRDefault="00FB0DCE" w:rsidP="003E7AF2">
      <w:pPr>
        <w:pStyle w:val="1"/>
        <w:rPr>
          <w:lang w:val="en-US"/>
        </w:rPr>
      </w:pPr>
      <w:r>
        <w:rPr>
          <w:lang w:val="en-US"/>
        </w:rPr>
        <w:t>References</w:t>
      </w:r>
    </w:p>
    <w:p w:rsidR="002B6641" w:rsidRPr="00E0102A" w:rsidRDefault="002B6641"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Baeva</w:t>
      </w:r>
      <w:r w:rsidR="003A0DE2" w:rsidRPr="00E0102A">
        <w:rPr>
          <w:sz w:val="24"/>
          <w:lang w:val="en-US"/>
        </w:rPr>
        <w:t xml:space="preserve">, </w:t>
      </w:r>
      <w:r w:rsidRPr="00E0102A">
        <w:rPr>
          <w:sz w:val="24"/>
          <w:lang w:val="en-US"/>
        </w:rPr>
        <w:t>Knobel</w:t>
      </w:r>
      <w:r w:rsidR="003A0DE2" w:rsidRPr="00E0102A">
        <w:rPr>
          <w:sz w:val="24"/>
          <w:lang w:val="en-US"/>
        </w:rPr>
        <w:t xml:space="preserve">. (2013). </w:t>
      </w:r>
      <w:r w:rsidR="0076126C" w:rsidRPr="00E0102A">
        <w:rPr>
          <w:sz w:val="24"/>
          <w:lang w:val="en-US"/>
        </w:rPr>
        <w:t>World trade and economic cooperation experience between large i</w:t>
      </w:r>
      <w:r w:rsidR="0076126C" w:rsidRPr="00E0102A">
        <w:rPr>
          <w:sz w:val="24"/>
          <w:lang w:val="en-US"/>
        </w:rPr>
        <w:t>n</w:t>
      </w:r>
      <w:r w:rsidR="0076126C" w:rsidRPr="00E0102A">
        <w:rPr>
          <w:sz w:val="24"/>
          <w:lang w:val="en-US"/>
        </w:rPr>
        <w:t xml:space="preserve">tegration areas and territorially remote economics. </w:t>
      </w:r>
      <w:r w:rsidR="00B346CC" w:rsidRPr="00E0102A">
        <w:rPr>
          <w:sz w:val="24"/>
          <w:lang w:val="en-US"/>
        </w:rPr>
        <w:t>Eurasian economic integration. N 2 (19), P. 7–20, May 2013</w:t>
      </w:r>
      <w:r w:rsidR="00EE3ED2">
        <w:rPr>
          <w:sz w:val="24"/>
          <w:lang w:val="en-US"/>
        </w:rPr>
        <w:t xml:space="preserve"> (in Russian)</w:t>
      </w:r>
    </w:p>
    <w:p w:rsidR="00323AF6" w:rsidRPr="00E0102A" w:rsidRDefault="00323AF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G.I. Sinelnikov–Murylev S.G. (2012). Modernization or Conservation: the Role of </w:t>
      </w:r>
      <w:r w:rsidR="00FB0DCE">
        <w:rPr>
          <w:sz w:val="24"/>
          <w:lang w:val="en-US"/>
        </w:rPr>
        <w:t>Exports</w:t>
      </w:r>
      <w:r w:rsidRPr="00E0102A">
        <w:rPr>
          <w:sz w:val="24"/>
          <w:lang w:val="en-US"/>
        </w:rPr>
        <w:t xml:space="preserve"> Duties on Oil and Oil Products // Econom</w:t>
      </w:r>
      <w:r w:rsidR="00EE3ED2">
        <w:rPr>
          <w:sz w:val="24"/>
          <w:lang w:val="en-US"/>
        </w:rPr>
        <w:t>icheskaya Politika. N3. P. 5–19 (in Russian)</w:t>
      </w:r>
    </w:p>
    <w:p w:rsidR="00323AF6" w:rsidRPr="00E0102A" w:rsidRDefault="00323AF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Idrisov G. (2010). Sensitivity of Russian </w:t>
      </w:r>
      <w:r w:rsidR="00FB0DCE">
        <w:rPr>
          <w:sz w:val="24"/>
          <w:lang w:val="en-US"/>
        </w:rPr>
        <w:t>imports</w:t>
      </w:r>
      <w:r w:rsidRPr="00E0102A">
        <w:rPr>
          <w:sz w:val="24"/>
          <w:lang w:val="en-US"/>
        </w:rPr>
        <w:t xml:space="preserve"> of equipment to fluctuations of the exchange rate // Russian foreign economic journal. № 2. P. 48</w:t>
      </w:r>
      <w:r w:rsidRPr="00FB0DCE">
        <w:rPr>
          <w:sz w:val="24"/>
          <w:lang w:val="en-US"/>
        </w:rPr>
        <w:t>–</w:t>
      </w:r>
      <w:r w:rsidR="00EE3ED2">
        <w:rPr>
          <w:sz w:val="24"/>
          <w:lang w:val="en-US"/>
        </w:rPr>
        <w:t>58.</w:t>
      </w:r>
      <w:r w:rsidR="00EE3ED2" w:rsidRPr="00EE3ED2">
        <w:rPr>
          <w:sz w:val="24"/>
          <w:lang w:val="en-US"/>
        </w:rPr>
        <w:t xml:space="preserve"> </w:t>
      </w:r>
      <w:r w:rsidR="00EE3ED2">
        <w:rPr>
          <w:sz w:val="24"/>
          <w:lang w:val="en-US"/>
        </w:rPr>
        <w:t>(in Russian)</w:t>
      </w:r>
    </w:p>
    <w:p w:rsidR="00323AF6" w:rsidRPr="00E0102A" w:rsidRDefault="00323AF6" w:rsidP="00E0102A">
      <w:pPr>
        <w:pStyle w:val="af1"/>
        <w:numPr>
          <w:ilvl w:val="0"/>
          <w:numId w:val="5"/>
        </w:numPr>
        <w:tabs>
          <w:tab w:val="left" w:pos="567"/>
        </w:tabs>
        <w:spacing w:after="120" w:line="240" w:lineRule="auto"/>
        <w:ind w:left="0" w:firstLine="142"/>
        <w:jc w:val="both"/>
        <w:rPr>
          <w:sz w:val="24"/>
          <w:lang w:val="en-US"/>
        </w:rPr>
      </w:pPr>
      <w:r w:rsidRPr="00E0102A">
        <w:rPr>
          <w:rStyle w:val="hps"/>
          <w:sz w:val="24"/>
          <w:lang w:val="en-US"/>
        </w:rPr>
        <w:t>Idrisov</w:t>
      </w:r>
      <w:r w:rsidRPr="00E0102A">
        <w:rPr>
          <w:sz w:val="24"/>
          <w:lang w:val="en-US"/>
        </w:rPr>
        <w:t xml:space="preserve"> </w:t>
      </w:r>
      <w:r w:rsidRPr="00E0102A">
        <w:rPr>
          <w:rStyle w:val="hps"/>
          <w:sz w:val="24"/>
          <w:lang w:val="en-US"/>
        </w:rPr>
        <w:t>G.</w:t>
      </w:r>
      <w:r w:rsidRPr="00E0102A">
        <w:rPr>
          <w:sz w:val="24"/>
          <w:lang w:val="en-US"/>
        </w:rPr>
        <w:t xml:space="preserve"> </w:t>
      </w:r>
      <w:r w:rsidRPr="00E0102A">
        <w:rPr>
          <w:rStyle w:val="hps"/>
          <w:sz w:val="24"/>
          <w:lang w:val="en-US"/>
        </w:rPr>
        <w:t>(2010</w:t>
      </w:r>
      <w:r w:rsidRPr="00E0102A">
        <w:rPr>
          <w:sz w:val="24"/>
          <w:lang w:val="en-US"/>
        </w:rPr>
        <w:t xml:space="preserve">). </w:t>
      </w:r>
      <w:r w:rsidRPr="00E0102A">
        <w:rPr>
          <w:rStyle w:val="hps"/>
          <w:sz w:val="24"/>
          <w:lang w:val="en-US"/>
        </w:rPr>
        <w:t>Factors of Demand for Imported Goods for Investment Purpose to Russia</w:t>
      </w:r>
      <w:r w:rsidRPr="00E0102A">
        <w:rPr>
          <w:sz w:val="24"/>
          <w:lang w:val="en-US"/>
        </w:rPr>
        <w:t xml:space="preserve"> </w:t>
      </w:r>
      <w:r w:rsidRPr="00E0102A">
        <w:rPr>
          <w:rStyle w:val="hps"/>
          <w:sz w:val="24"/>
          <w:lang w:val="en-US"/>
        </w:rPr>
        <w:t>// Series</w:t>
      </w:r>
      <w:r w:rsidRPr="00E0102A">
        <w:rPr>
          <w:sz w:val="24"/>
          <w:lang w:val="en-US"/>
        </w:rPr>
        <w:t xml:space="preserve"> «Nauchnie Trudi» № </w:t>
      </w:r>
      <w:r w:rsidRPr="00E0102A">
        <w:rPr>
          <w:rStyle w:val="hps"/>
          <w:sz w:val="24"/>
          <w:lang w:val="en-US"/>
        </w:rPr>
        <w:t>138.</w:t>
      </w:r>
      <w:r w:rsidRPr="00E0102A">
        <w:rPr>
          <w:sz w:val="24"/>
          <w:lang w:val="en-US"/>
        </w:rPr>
        <w:t xml:space="preserve"> Gaidar</w:t>
      </w:r>
      <w:r w:rsidRPr="00E0102A">
        <w:rPr>
          <w:rStyle w:val="hps"/>
          <w:sz w:val="24"/>
          <w:lang w:val="en-US"/>
        </w:rPr>
        <w:t xml:space="preserve"> Institute for Economic Policy</w:t>
      </w:r>
      <w:r w:rsidR="00EE3ED2">
        <w:rPr>
          <w:rStyle w:val="hps"/>
          <w:sz w:val="24"/>
          <w:lang w:val="en-US"/>
        </w:rPr>
        <w:t xml:space="preserve"> </w:t>
      </w:r>
      <w:r w:rsidR="00EE3ED2">
        <w:rPr>
          <w:sz w:val="24"/>
          <w:lang w:val="en-US"/>
        </w:rPr>
        <w:t>(in Russian)</w:t>
      </w:r>
    </w:p>
    <w:p w:rsidR="00323AF6" w:rsidRPr="00E0102A" w:rsidRDefault="00323AF6" w:rsidP="00E0102A">
      <w:pPr>
        <w:pStyle w:val="af1"/>
        <w:numPr>
          <w:ilvl w:val="0"/>
          <w:numId w:val="5"/>
        </w:numPr>
        <w:tabs>
          <w:tab w:val="left" w:pos="567"/>
        </w:tabs>
        <w:spacing w:after="120" w:line="240" w:lineRule="auto"/>
        <w:ind w:left="0" w:firstLine="142"/>
        <w:jc w:val="both"/>
        <w:rPr>
          <w:sz w:val="24"/>
          <w:lang w:val="en-US"/>
        </w:rPr>
      </w:pPr>
      <w:r w:rsidRPr="00E0102A">
        <w:rPr>
          <w:rStyle w:val="hps"/>
          <w:sz w:val="24"/>
          <w:lang w:val="en-US"/>
        </w:rPr>
        <w:t>Knobel</w:t>
      </w:r>
      <w:r w:rsidRPr="00715581">
        <w:rPr>
          <w:sz w:val="24"/>
          <w:lang w:val="en-US"/>
        </w:rPr>
        <w:t xml:space="preserve"> </w:t>
      </w:r>
      <w:r w:rsidRPr="00E0102A">
        <w:rPr>
          <w:rStyle w:val="hps"/>
          <w:sz w:val="24"/>
          <w:lang w:val="en-US"/>
        </w:rPr>
        <w:t>A</w:t>
      </w:r>
      <w:r w:rsidRPr="00715581">
        <w:rPr>
          <w:rStyle w:val="hps"/>
          <w:sz w:val="24"/>
          <w:lang w:val="en-US"/>
        </w:rPr>
        <w:t>.</w:t>
      </w:r>
      <w:r w:rsidRPr="00E0102A">
        <w:rPr>
          <w:rStyle w:val="hps"/>
          <w:sz w:val="24"/>
          <w:lang w:val="en-US"/>
        </w:rPr>
        <w:t>Y</w:t>
      </w:r>
      <w:r w:rsidRPr="00715581">
        <w:rPr>
          <w:rStyle w:val="hps"/>
          <w:sz w:val="24"/>
          <w:lang w:val="en-US"/>
        </w:rPr>
        <w:t>. (2010).</w:t>
      </w:r>
      <w:r w:rsidRPr="00715581">
        <w:rPr>
          <w:sz w:val="24"/>
          <w:lang w:val="en-US"/>
        </w:rPr>
        <w:t xml:space="preserve"> </w:t>
      </w:r>
      <w:r w:rsidRPr="00E0102A">
        <w:rPr>
          <w:rStyle w:val="hps"/>
          <w:sz w:val="24"/>
          <w:lang w:val="en-US"/>
        </w:rPr>
        <w:t xml:space="preserve">Factors of </w:t>
      </w:r>
      <w:r w:rsidR="00FB0DCE">
        <w:rPr>
          <w:rStyle w:val="hps"/>
          <w:sz w:val="24"/>
          <w:lang w:val="en-US"/>
        </w:rPr>
        <w:t>Imports</w:t>
      </w:r>
      <w:r w:rsidRPr="00E0102A">
        <w:rPr>
          <w:rStyle w:val="hps"/>
          <w:sz w:val="24"/>
          <w:lang w:val="en-US"/>
        </w:rPr>
        <w:t xml:space="preserve"> Tariff Formation // Series «Nauchnie Trudi» № 143. Gaidar Institute for Economic Policy.</w:t>
      </w:r>
      <w:r w:rsidR="00EE3ED2" w:rsidRPr="00EE3ED2">
        <w:rPr>
          <w:sz w:val="24"/>
          <w:lang w:val="en-US"/>
        </w:rPr>
        <w:t xml:space="preserve"> </w:t>
      </w:r>
      <w:r w:rsidR="00EE3ED2">
        <w:rPr>
          <w:sz w:val="24"/>
          <w:lang w:val="en-US"/>
        </w:rPr>
        <w:t>(in Russian)</w:t>
      </w:r>
    </w:p>
    <w:p w:rsidR="00323AF6" w:rsidRPr="00E0102A" w:rsidRDefault="00323AF6" w:rsidP="00E0102A">
      <w:pPr>
        <w:pStyle w:val="af1"/>
        <w:numPr>
          <w:ilvl w:val="0"/>
          <w:numId w:val="5"/>
        </w:numPr>
        <w:tabs>
          <w:tab w:val="left" w:pos="567"/>
        </w:tabs>
        <w:spacing w:after="120" w:line="240" w:lineRule="auto"/>
        <w:ind w:left="0" w:firstLine="142"/>
        <w:jc w:val="both"/>
        <w:rPr>
          <w:sz w:val="24"/>
          <w:lang w:val="en-US"/>
        </w:rPr>
      </w:pPr>
      <w:r w:rsidRPr="00E0102A">
        <w:rPr>
          <w:rStyle w:val="hps"/>
          <w:sz w:val="24"/>
          <w:lang w:val="en-US"/>
        </w:rPr>
        <w:t>Knobel</w:t>
      </w:r>
      <w:r w:rsidRPr="00E0102A">
        <w:rPr>
          <w:sz w:val="24"/>
          <w:lang w:val="en-US"/>
        </w:rPr>
        <w:t xml:space="preserve"> </w:t>
      </w:r>
      <w:r w:rsidRPr="00E0102A">
        <w:rPr>
          <w:rStyle w:val="hps"/>
          <w:sz w:val="24"/>
          <w:lang w:val="en-US"/>
        </w:rPr>
        <w:t>A. (</w:t>
      </w:r>
      <w:r w:rsidRPr="00E0102A">
        <w:rPr>
          <w:sz w:val="24"/>
          <w:lang w:val="en-US"/>
        </w:rPr>
        <w:t xml:space="preserve">2011). </w:t>
      </w:r>
      <w:r w:rsidRPr="00E0102A">
        <w:rPr>
          <w:rStyle w:val="hps"/>
          <w:sz w:val="24"/>
          <w:lang w:val="en-US"/>
        </w:rPr>
        <w:t xml:space="preserve">Estimation of </w:t>
      </w:r>
      <w:r w:rsidR="00FB0DCE">
        <w:rPr>
          <w:rStyle w:val="hps"/>
          <w:sz w:val="24"/>
          <w:lang w:val="en-US"/>
        </w:rPr>
        <w:t>imports</w:t>
      </w:r>
      <w:r w:rsidRPr="00E0102A">
        <w:rPr>
          <w:rStyle w:val="hps"/>
          <w:sz w:val="24"/>
          <w:lang w:val="en-US"/>
        </w:rPr>
        <w:t xml:space="preserve"> demand function in Russia</w:t>
      </w:r>
      <w:r w:rsidRPr="00E0102A">
        <w:rPr>
          <w:sz w:val="24"/>
          <w:lang w:val="en-US"/>
        </w:rPr>
        <w:t xml:space="preserve"> </w:t>
      </w:r>
      <w:r w:rsidRPr="00E0102A">
        <w:rPr>
          <w:rStyle w:val="hps"/>
          <w:sz w:val="24"/>
          <w:lang w:val="en-US"/>
        </w:rPr>
        <w:t>// Journal of Applied</w:t>
      </w:r>
      <w:r w:rsidRPr="00E0102A">
        <w:rPr>
          <w:sz w:val="24"/>
          <w:lang w:val="en-US"/>
        </w:rPr>
        <w:t xml:space="preserve"> </w:t>
      </w:r>
      <w:r w:rsidRPr="00E0102A">
        <w:rPr>
          <w:rStyle w:val="hps"/>
          <w:sz w:val="24"/>
          <w:lang w:val="en-US"/>
        </w:rPr>
        <w:t>Econometrics</w:t>
      </w:r>
      <w:r w:rsidRPr="00E0102A">
        <w:rPr>
          <w:sz w:val="24"/>
          <w:lang w:val="en-US"/>
        </w:rPr>
        <w:t>. N</w:t>
      </w:r>
      <w:r w:rsidRPr="00E0102A">
        <w:rPr>
          <w:rStyle w:val="hps"/>
          <w:sz w:val="24"/>
          <w:lang w:val="en-US"/>
        </w:rPr>
        <w:t>4 (24)</w:t>
      </w:r>
      <w:r w:rsidRPr="00E0102A">
        <w:rPr>
          <w:sz w:val="24"/>
          <w:lang w:val="en-US"/>
        </w:rPr>
        <w:t xml:space="preserve">. </w:t>
      </w:r>
      <w:r w:rsidRPr="00E0102A">
        <w:rPr>
          <w:rStyle w:val="hps"/>
          <w:sz w:val="24"/>
          <w:lang w:val="en-US"/>
        </w:rPr>
        <w:t>P.</w:t>
      </w:r>
      <w:r w:rsidRPr="00E0102A">
        <w:rPr>
          <w:sz w:val="24"/>
          <w:lang w:val="en-US"/>
        </w:rPr>
        <w:t xml:space="preserve"> </w:t>
      </w:r>
      <w:r w:rsidRPr="00E0102A">
        <w:rPr>
          <w:rStyle w:val="hps"/>
          <w:sz w:val="24"/>
          <w:lang w:val="en-US"/>
        </w:rPr>
        <w:t>3</w:t>
      </w:r>
      <w:r w:rsidRPr="00FB0DCE">
        <w:rPr>
          <w:rStyle w:val="hps"/>
          <w:sz w:val="24"/>
          <w:lang w:val="en-US"/>
        </w:rPr>
        <w:t>–</w:t>
      </w:r>
      <w:r w:rsidRPr="00E0102A">
        <w:rPr>
          <w:rStyle w:val="hps"/>
          <w:sz w:val="24"/>
          <w:lang w:val="en-US"/>
        </w:rPr>
        <w:t>26</w:t>
      </w:r>
      <w:r w:rsidR="00EE3ED2">
        <w:rPr>
          <w:sz w:val="24"/>
          <w:lang w:val="en-US"/>
        </w:rPr>
        <w:t>.</w:t>
      </w:r>
      <w:r w:rsidR="00EE3ED2" w:rsidRPr="00EE3ED2">
        <w:rPr>
          <w:sz w:val="24"/>
          <w:lang w:val="en-US"/>
        </w:rPr>
        <w:t xml:space="preserve"> </w:t>
      </w:r>
      <w:r w:rsidR="00EE3ED2">
        <w:rPr>
          <w:sz w:val="24"/>
          <w:lang w:val="en-US"/>
        </w:rPr>
        <w:t>(in Russian)</w:t>
      </w:r>
    </w:p>
    <w:p w:rsidR="00323AF6" w:rsidRPr="00E0102A" w:rsidRDefault="00323AF6" w:rsidP="00E0102A">
      <w:pPr>
        <w:pStyle w:val="af1"/>
        <w:numPr>
          <w:ilvl w:val="0"/>
          <w:numId w:val="5"/>
        </w:numPr>
        <w:tabs>
          <w:tab w:val="left" w:pos="567"/>
        </w:tabs>
        <w:spacing w:after="120" w:line="240" w:lineRule="auto"/>
        <w:ind w:left="0" w:firstLine="142"/>
        <w:jc w:val="both"/>
        <w:rPr>
          <w:sz w:val="24"/>
          <w:lang w:val="en-US"/>
        </w:rPr>
      </w:pPr>
      <w:r w:rsidRPr="00E0102A">
        <w:rPr>
          <w:rStyle w:val="hps"/>
          <w:sz w:val="24"/>
          <w:lang w:val="en-US"/>
        </w:rPr>
        <w:t>Mau V.</w:t>
      </w:r>
      <w:r w:rsidRPr="00E0102A">
        <w:rPr>
          <w:sz w:val="24"/>
          <w:lang w:val="en-US"/>
        </w:rPr>
        <w:t>, Novikov V</w:t>
      </w:r>
      <w:r w:rsidRPr="00E0102A">
        <w:rPr>
          <w:rStyle w:val="hps"/>
          <w:sz w:val="24"/>
          <w:lang w:val="en-US"/>
        </w:rPr>
        <w:t xml:space="preserve">. </w:t>
      </w:r>
      <w:r w:rsidRPr="00E0102A">
        <w:rPr>
          <w:sz w:val="24"/>
          <w:lang w:val="en-US"/>
        </w:rPr>
        <w:t>Relations between Russia and the EU: the space of choice or the choice of space. Vo</w:t>
      </w:r>
      <w:r w:rsidR="00EE3ED2">
        <w:rPr>
          <w:sz w:val="24"/>
          <w:lang w:val="en-US"/>
        </w:rPr>
        <w:t>prosy ekonomiki. N6. P.133–143.</w:t>
      </w:r>
      <w:r w:rsidR="00EE3ED2" w:rsidRPr="00EE3ED2">
        <w:rPr>
          <w:sz w:val="24"/>
          <w:lang w:val="en-US"/>
        </w:rPr>
        <w:t xml:space="preserve"> </w:t>
      </w:r>
      <w:r w:rsidR="00EE3ED2">
        <w:rPr>
          <w:sz w:val="24"/>
          <w:lang w:val="en-US"/>
        </w:rPr>
        <w:t>(in Russian)</w:t>
      </w:r>
    </w:p>
    <w:p w:rsidR="00323AF6" w:rsidRPr="00E0102A" w:rsidRDefault="00323AF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Mau</w:t>
      </w:r>
      <w:r w:rsidRPr="00EE3ED2">
        <w:rPr>
          <w:sz w:val="24"/>
          <w:lang w:val="en-US"/>
        </w:rPr>
        <w:t xml:space="preserve"> </w:t>
      </w:r>
      <w:r w:rsidRPr="00E0102A">
        <w:rPr>
          <w:sz w:val="24"/>
          <w:lang w:val="en-US"/>
        </w:rPr>
        <w:t>V</w:t>
      </w:r>
      <w:r w:rsidRPr="00EE3ED2">
        <w:rPr>
          <w:sz w:val="24"/>
          <w:lang w:val="en-US"/>
        </w:rPr>
        <w:t>.</w:t>
      </w:r>
      <w:r w:rsidRPr="00E0102A">
        <w:rPr>
          <w:sz w:val="24"/>
          <w:lang w:val="en-US"/>
        </w:rPr>
        <w:t>A</w:t>
      </w:r>
      <w:r w:rsidRPr="00EE3ED2">
        <w:rPr>
          <w:sz w:val="24"/>
          <w:lang w:val="en-US"/>
        </w:rPr>
        <w:t xml:space="preserve">., </w:t>
      </w:r>
      <w:r w:rsidRPr="00E0102A">
        <w:rPr>
          <w:sz w:val="24"/>
          <w:lang w:val="en-US"/>
        </w:rPr>
        <w:t>Kovalev</w:t>
      </w:r>
      <w:r w:rsidRPr="00EE3ED2">
        <w:rPr>
          <w:sz w:val="24"/>
          <w:lang w:val="en-US"/>
        </w:rPr>
        <w:t xml:space="preserve"> </w:t>
      </w:r>
      <w:r w:rsidRPr="00E0102A">
        <w:rPr>
          <w:sz w:val="24"/>
          <w:lang w:val="en-US"/>
        </w:rPr>
        <w:t>G</w:t>
      </w:r>
      <w:r w:rsidRPr="00EE3ED2">
        <w:rPr>
          <w:sz w:val="24"/>
          <w:lang w:val="en-US"/>
        </w:rPr>
        <w:t>.</w:t>
      </w:r>
      <w:r w:rsidRPr="00E0102A">
        <w:rPr>
          <w:sz w:val="24"/>
          <w:lang w:val="en-US"/>
        </w:rPr>
        <w:t>S</w:t>
      </w:r>
      <w:r w:rsidRPr="00EE3ED2">
        <w:rPr>
          <w:sz w:val="24"/>
          <w:lang w:val="en-US"/>
        </w:rPr>
        <w:t xml:space="preserve">., </w:t>
      </w:r>
      <w:r w:rsidRPr="00E0102A">
        <w:rPr>
          <w:sz w:val="24"/>
          <w:lang w:val="en-US"/>
        </w:rPr>
        <w:t>Novikov</w:t>
      </w:r>
      <w:r w:rsidRPr="00EE3ED2">
        <w:rPr>
          <w:sz w:val="24"/>
          <w:lang w:val="en-US"/>
        </w:rPr>
        <w:t xml:space="preserve"> </w:t>
      </w:r>
      <w:r w:rsidRPr="00E0102A">
        <w:rPr>
          <w:sz w:val="24"/>
          <w:lang w:val="en-US"/>
        </w:rPr>
        <w:t>V</w:t>
      </w:r>
      <w:r w:rsidRPr="00EE3ED2">
        <w:rPr>
          <w:sz w:val="24"/>
          <w:lang w:val="en-US"/>
        </w:rPr>
        <w:t>.</w:t>
      </w:r>
      <w:r w:rsidRPr="00E0102A">
        <w:rPr>
          <w:sz w:val="24"/>
          <w:lang w:val="en-US"/>
        </w:rPr>
        <w:t>V</w:t>
      </w:r>
      <w:r w:rsidRPr="00EE3ED2">
        <w:rPr>
          <w:sz w:val="24"/>
          <w:lang w:val="en-US"/>
        </w:rPr>
        <w:t xml:space="preserve">., </w:t>
      </w:r>
      <w:r w:rsidRPr="00E0102A">
        <w:rPr>
          <w:sz w:val="24"/>
          <w:lang w:val="en-US"/>
        </w:rPr>
        <w:t>Yanovsky</w:t>
      </w:r>
      <w:r w:rsidRPr="00EE3ED2">
        <w:rPr>
          <w:sz w:val="24"/>
          <w:lang w:val="en-US"/>
        </w:rPr>
        <w:t xml:space="preserve"> </w:t>
      </w:r>
      <w:r w:rsidRPr="00E0102A">
        <w:rPr>
          <w:sz w:val="24"/>
          <w:lang w:val="en-US"/>
        </w:rPr>
        <w:t>K</w:t>
      </w:r>
      <w:r w:rsidRPr="00EE3ED2">
        <w:rPr>
          <w:sz w:val="24"/>
          <w:lang w:val="en-US"/>
        </w:rPr>
        <w:t>.</w:t>
      </w:r>
      <w:r w:rsidRPr="00E0102A">
        <w:rPr>
          <w:sz w:val="24"/>
          <w:lang w:val="en-US"/>
        </w:rPr>
        <w:t>E</w:t>
      </w:r>
      <w:r w:rsidRPr="00EE3ED2">
        <w:rPr>
          <w:sz w:val="24"/>
          <w:lang w:val="en-US"/>
        </w:rPr>
        <w:t xml:space="preserve">. (2004). </w:t>
      </w:r>
      <w:r w:rsidRPr="00E0102A">
        <w:rPr>
          <w:sz w:val="24"/>
          <w:lang w:val="en-US"/>
        </w:rPr>
        <w:t>Problems of Russian’s int</w:t>
      </w:r>
      <w:r w:rsidRPr="00E0102A">
        <w:rPr>
          <w:sz w:val="24"/>
          <w:lang w:val="en-US"/>
        </w:rPr>
        <w:t>e</w:t>
      </w:r>
      <w:r w:rsidRPr="00E0102A">
        <w:rPr>
          <w:sz w:val="24"/>
          <w:lang w:val="en-US"/>
        </w:rPr>
        <w:t>gration into the common European economic space. Series.</w:t>
      </w:r>
      <w:r w:rsidRPr="00E0102A">
        <w:rPr>
          <w:rStyle w:val="hps"/>
          <w:sz w:val="24"/>
          <w:lang w:val="en-US"/>
        </w:rPr>
        <w:t xml:space="preserve"> «Nauchnie Trudi</w:t>
      </w:r>
      <w:r w:rsidRPr="00E0102A">
        <w:rPr>
          <w:sz w:val="24"/>
          <w:lang w:val="en-US"/>
        </w:rPr>
        <w:t>» № 71. Institute for the Economy in Transit</w:t>
      </w:r>
      <w:r w:rsidR="00EE3ED2">
        <w:rPr>
          <w:sz w:val="24"/>
          <w:lang w:val="en-US"/>
        </w:rPr>
        <w:t>ion.</w:t>
      </w:r>
      <w:r w:rsidR="00EE3ED2" w:rsidRPr="00EE3ED2">
        <w:rPr>
          <w:sz w:val="24"/>
          <w:lang w:val="en-US"/>
        </w:rPr>
        <w:t xml:space="preserve"> </w:t>
      </w:r>
      <w:r w:rsidR="00EE3ED2">
        <w:rPr>
          <w:sz w:val="24"/>
          <w:lang w:val="en-US"/>
        </w:rPr>
        <w:t>(in Russian)</w:t>
      </w:r>
    </w:p>
    <w:p w:rsidR="00323AF6" w:rsidRPr="00E0102A" w:rsidRDefault="00323AF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Farkhutdinov I.Z. (2009). Investment cooperation between Russia and the EU: political and legal issues and perspectives // </w:t>
      </w:r>
      <w:r w:rsidR="00EE3ED2">
        <w:rPr>
          <w:sz w:val="24"/>
          <w:lang w:val="en-US"/>
        </w:rPr>
        <w:t>EvrAzYuzh. N11 (18).</w:t>
      </w:r>
      <w:r w:rsidRPr="00E0102A">
        <w:rPr>
          <w:sz w:val="24"/>
          <w:lang w:val="en-US"/>
        </w:rPr>
        <w:t xml:space="preserve"> http://www.eurasialaw.ru</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Baier, S. L., &amp; Bergstrand, J. H. (2004). Economic determinants of free trade agreements. </w:t>
      </w:r>
      <w:r w:rsidRPr="00E0102A">
        <w:rPr>
          <w:i/>
          <w:iCs/>
          <w:sz w:val="24"/>
          <w:lang w:val="en-US"/>
        </w:rPr>
        <w:t>Journal of International Economics</w:t>
      </w:r>
      <w:r w:rsidRPr="00E0102A">
        <w:rPr>
          <w:sz w:val="24"/>
          <w:lang w:val="en-US"/>
        </w:rPr>
        <w:t xml:space="preserve">, </w:t>
      </w:r>
      <w:r w:rsidRPr="00E0102A">
        <w:rPr>
          <w:i/>
          <w:iCs/>
          <w:sz w:val="24"/>
          <w:lang w:val="en-US"/>
        </w:rPr>
        <w:t>64</w:t>
      </w:r>
      <w:r w:rsidRPr="00E0102A">
        <w:rPr>
          <w:sz w:val="24"/>
          <w:lang w:val="en-US"/>
        </w:rPr>
        <w:t xml:space="preserve">(1), 29-63.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Baldwin, R., &amp; Jaimovich, D. (2012). Are free trade agreements contagious</w:t>
      </w:r>
      <w:proofErr w:type="gramStart"/>
      <w:r w:rsidRPr="00E0102A">
        <w:rPr>
          <w:sz w:val="24"/>
          <w:lang w:val="en-US"/>
        </w:rPr>
        <w:t>?.</w:t>
      </w:r>
      <w:proofErr w:type="gramEnd"/>
      <w:r w:rsidRPr="00E0102A">
        <w:rPr>
          <w:sz w:val="24"/>
          <w:lang w:val="en-US"/>
        </w:rPr>
        <w:t xml:space="preserve"> </w:t>
      </w:r>
      <w:r w:rsidRPr="00E0102A">
        <w:rPr>
          <w:i/>
          <w:iCs/>
          <w:sz w:val="24"/>
          <w:lang w:val="en-US"/>
        </w:rPr>
        <w:t>Journal of i</w:t>
      </w:r>
      <w:r w:rsidRPr="00E0102A">
        <w:rPr>
          <w:i/>
          <w:iCs/>
          <w:sz w:val="24"/>
          <w:lang w:val="en-US"/>
        </w:rPr>
        <w:t>n</w:t>
      </w:r>
      <w:r w:rsidRPr="00E0102A">
        <w:rPr>
          <w:i/>
          <w:iCs/>
          <w:sz w:val="24"/>
          <w:lang w:val="en-US"/>
        </w:rPr>
        <w:t>ternational Economics</w:t>
      </w:r>
      <w:r w:rsidRPr="00E0102A">
        <w:rPr>
          <w:sz w:val="24"/>
          <w:lang w:val="en-US"/>
        </w:rPr>
        <w:t xml:space="preserve">, </w:t>
      </w:r>
      <w:r w:rsidRPr="00E0102A">
        <w:rPr>
          <w:i/>
          <w:iCs/>
          <w:sz w:val="24"/>
          <w:lang w:val="en-US"/>
        </w:rPr>
        <w:t>88</w:t>
      </w:r>
      <w:r w:rsidRPr="00E0102A">
        <w:rPr>
          <w:sz w:val="24"/>
          <w:lang w:val="en-US"/>
        </w:rPr>
        <w:t>(1), 1-16.</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Brown, D. K., Deardorff, A. V., &amp; Stern, R. (2001). Impact on NAFTA members of multila</w:t>
      </w:r>
      <w:r w:rsidRPr="00E0102A">
        <w:rPr>
          <w:sz w:val="24"/>
          <w:lang w:val="en-US"/>
        </w:rPr>
        <w:t>t</w:t>
      </w:r>
      <w:r w:rsidRPr="00E0102A">
        <w:rPr>
          <w:sz w:val="24"/>
          <w:lang w:val="en-US"/>
        </w:rPr>
        <w:t xml:space="preserve">eral and regional trading arrangements and tariff harmonization. </w:t>
      </w:r>
      <w:r w:rsidRPr="00E0102A">
        <w:rPr>
          <w:i/>
          <w:iCs/>
          <w:sz w:val="24"/>
          <w:lang w:val="en-US"/>
        </w:rPr>
        <w:t>North American Linkages: Oppo</w:t>
      </w:r>
      <w:r w:rsidRPr="00E0102A">
        <w:rPr>
          <w:i/>
          <w:iCs/>
          <w:sz w:val="24"/>
          <w:lang w:val="en-US"/>
        </w:rPr>
        <w:t>r</w:t>
      </w:r>
      <w:r w:rsidRPr="00E0102A">
        <w:rPr>
          <w:i/>
          <w:iCs/>
          <w:sz w:val="24"/>
          <w:lang w:val="en-US"/>
        </w:rPr>
        <w:t>tunities and Challenges for Canada</w:t>
      </w:r>
      <w:r w:rsidRPr="00E0102A">
        <w:rPr>
          <w:sz w:val="24"/>
          <w:lang w:val="en-US"/>
        </w:rPr>
        <w:t xml:space="preserve">.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Carrere, C. (2006). Revisiting the effects of regional trade agreements on trade flows with proper specification of the gravity model. </w:t>
      </w:r>
      <w:r w:rsidRPr="00E0102A">
        <w:rPr>
          <w:i/>
          <w:iCs/>
          <w:sz w:val="24"/>
          <w:lang w:val="en-US"/>
        </w:rPr>
        <w:t>European Economic Review</w:t>
      </w:r>
      <w:r w:rsidRPr="00E0102A">
        <w:rPr>
          <w:sz w:val="24"/>
          <w:lang w:val="en-US"/>
        </w:rPr>
        <w:t xml:space="preserve">, </w:t>
      </w:r>
      <w:r w:rsidRPr="00E0102A">
        <w:rPr>
          <w:i/>
          <w:iCs/>
          <w:sz w:val="24"/>
          <w:lang w:val="en-US"/>
        </w:rPr>
        <w:t>50</w:t>
      </w:r>
      <w:r w:rsidRPr="00E0102A">
        <w:rPr>
          <w:sz w:val="24"/>
          <w:lang w:val="en-US"/>
        </w:rPr>
        <w:t xml:space="preserve">(2), 223-247.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Chang, W. and </w:t>
      </w:r>
      <w:proofErr w:type="gramStart"/>
      <w:r w:rsidRPr="00E0102A">
        <w:rPr>
          <w:sz w:val="24"/>
          <w:lang w:val="en-US"/>
        </w:rPr>
        <w:t>Winters</w:t>
      </w:r>
      <w:proofErr w:type="gramEnd"/>
      <w:r w:rsidRPr="00E0102A">
        <w:rPr>
          <w:sz w:val="24"/>
          <w:lang w:val="en-US"/>
        </w:rPr>
        <w:t xml:space="preserve">, L. A. (2002). How regional blocs affect excluded countries: the price effects of MERCOSUR. </w:t>
      </w:r>
      <w:r w:rsidRPr="00E0102A">
        <w:rPr>
          <w:i/>
          <w:sz w:val="24"/>
          <w:lang w:val="en-US"/>
        </w:rPr>
        <w:t>American Economic Review,</w:t>
      </w:r>
      <w:r w:rsidRPr="00E0102A">
        <w:rPr>
          <w:sz w:val="24"/>
          <w:lang w:val="en-US"/>
        </w:rPr>
        <w:t xml:space="preserve"> 92(4), 889-904.</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Cheong I., Wang Y. (1999). Korea-U.S. FTA Policy: Prospects and Analysis // Working P</w:t>
      </w:r>
      <w:r w:rsidRPr="00E0102A">
        <w:rPr>
          <w:sz w:val="24"/>
          <w:lang w:val="en-US"/>
        </w:rPr>
        <w:t>a</w:t>
      </w:r>
      <w:r w:rsidRPr="00E0102A">
        <w:rPr>
          <w:sz w:val="24"/>
          <w:lang w:val="en-US"/>
        </w:rPr>
        <w:t>per 99-03. Seoul: Korea Institute for International Economic Policy.</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lastRenderedPageBreak/>
        <w:t xml:space="preserve">Chʻoe, I. B., &amp; Schott, J. J. (2001). </w:t>
      </w:r>
      <w:r w:rsidRPr="00E0102A">
        <w:rPr>
          <w:i/>
          <w:iCs/>
          <w:sz w:val="24"/>
          <w:lang w:val="en-US"/>
        </w:rPr>
        <w:t>Free trade between Korea and the United States?</w:t>
      </w:r>
      <w:r w:rsidRPr="00E0102A">
        <w:rPr>
          <w:sz w:val="24"/>
          <w:lang w:val="en-US"/>
        </w:rPr>
        <w:t xml:space="preserve"> </w:t>
      </w:r>
      <w:r w:rsidRPr="00E0102A">
        <w:rPr>
          <w:sz w:val="24"/>
        </w:rPr>
        <w:t>(</w:t>
      </w:r>
      <w:proofErr w:type="spellStart"/>
      <w:r w:rsidRPr="00E0102A">
        <w:rPr>
          <w:sz w:val="24"/>
        </w:rPr>
        <w:t>Vol</w:t>
      </w:r>
      <w:proofErr w:type="spellEnd"/>
      <w:r w:rsidRPr="00E0102A">
        <w:rPr>
          <w:sz w:val="24"/>
        </w:rPr>
        <w:t xml:space="preserve">. 62). </w:t>
      </w:r>
      <w:proofErr w:type="spellStart"/>
      <w:r w:rsidRPr="00E0102A">
        <w:rPr>
          <w:sz w:val="24"/>
        </w:rPr>
        <w:t>Peterson</w:t>
      </w:r>
      <w:proofErr w:type="spellEnd"/>
      <w:r w:rsidRPr="00E0102A">
        <w:rPr>
          <w:sz w:val="24"/>
        </w:rPr>
        <w:t xml:space="preserve"> </w:t>
      </w:r>
      <w:proofErr w:type="spellStart"/>
      <w:r w:rsidRPr="00E0102A">
        <w:rPr>
          <w:sz w:val="24"/>
        </w:rPr>
        <w:t>Institute</w:t>
      </w:r>
      <w:proofErr w:type="spellEnd"/>
      <w:r w:rsidRPr="00E0102A">
        <w:rPr>
          <w:sz w:val="24"/>
        </w:rPr>
        <w:t>.</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Choi, I., &amp; Schott, J. J. (2004). Korea-US Free Trade Revisited. </w:t>
      </w:r>
      <w:r w:rsidRPr="00E0102A">
        <w:rPr>
          <w:i/>
          <w:iCs/>
          <w:sz w:val="24"/>
          <w:lang w:val="en-US"/>
        </w:rPr>
        <w:t xml:space="preserve">Free Trade Agreements–US Strategies and </w:t>
      </w:r>
      <w:proofErr w:type="gramStart"/>
      <w:r w:rsidRPr="00E0102A">
        <w:rPr>
          <w:i/>
          <w:iCs/>
          <w:sz w:val="24"/>
          <w:lang w:val="en-US"/>
        </w:rPr>
        <w:t>Priorities</w:t>
      </w:r>
      <w:r w:rsidRPr="00E0102A">
        <w:rPr>
          <w:sz w:val="24"/>
          <w:lang w:val="en-US"/>
        </w:rPr>
        <w:t>.,</w:t>
      </w:r>
      <w:proofErr w:type="gramEnd"/>
      <w:r w:rsidRPr="00E0102A">
        <w:rPr>
          <w:sz w:val="24"/>
          <w:lang w:val="en-US"/>
        </w:rPr>
        <w:t xml:space="preserve"> ed. Jeffrey J. Schott. Washington, D.C.: Institute for International Ec</w:t>
      </w:r>
      <w:r w:rsidRPr="00E0102A">
        <w:rPr>
          <w:sz w:val="24"/>
          <w:lang w:val="en-US"/>
        </w:rPr>
        <w:t>o</w:t>
      </w:r>
      <w:r w:rsidRPr="00E0102A">
        <w:rPr>
          <w:sz w:val="24"/>
          <w:lang w:val="en-US"/>
        </w:rPr>
        <w:t>nomics.</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Clausing, K. A. (2001). Trade creation and trade diversion in the Canada–United States free trade agreement. </w:t>
      </w:r>
      <w:r w:rsidRPr="00E0102A">
        <w:rPr>
          <w:i/>
          <w:iCs/>
          <w:sz w:val="24"/>
          <w:lang w:val="en-US"/>
        </w:rPr>
        <w:t>Canadian Journal of Economics/Revue canadienne d'économique</w:t>
      </w:r>
      <w:r w:rsidRPr="00E0102A">
        <w:rPr>
          <w:sz w:val="24"/>
          <w:lang w:val="en-US"/>
        </w:rPr>
        <w:t xml:space="preserve">, </w:t>
      </w:r>
      <w:r w:rsidRPr="00E0102A">
        <w:rPr>
          <w:i/>
          <w:iCs/>
          <w:sz w:val="24"/>
          <w:lang w:val="en-US"/>
        </w:rPr>
        <w:t>34</w:t>
      </w:r>
      <w:r w:rsidRPr="00E0102A">
        <w:rPr>
          <w:sz w:val="24"/>
          <w:lang w:val="en-US"/>
        </w:rPr>
        <w:t xml:space="preserve">(3), 677-696.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Egger, P. (2004). Estimating regional trading bloc effects with panel data. </w:t>
      </w:r>
      <w:r w:rsidRPr="00E0102A">
        <w:rPr>
          <w:i/>
          <w:iCs/>
          <w:sz w:val="24"/>
          <w:lang w:val="en-US"/>
        </w:rPr>
        <w:t>Review of World Economics</w:t>
      </w:r>
      <w:r w:rsidRPr="00E0102A">
        <w:rPr>
          <w:sz w:val="24"/>
          <w:lang w:val="en-US"/>
        </w:rPr>
        <w:t xml:space="preserve">, </w:t>
      </w:r>
      <w:r w:rsidRPr="00E0102A">
        <w:rPr>
          <w:i/>
          <w:iCs/>
          <w:sz w:val="24"/>
          <w:lang w:val="en-US"/>
        </w:rPr>
        <w:t>140</w:t>
      </w:r>
      <w:r w:rsidRPr="00E0102A">
        <w:rPr>
          <w:sz w:val="24"/>
          <w:lang w:val="en-US"/>
        </w:rPr>
        <w:t xml:space="preserve">(1), 151-166.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Egger, P., &amp; Larch, M. (2008). Interdependent preferential trade agreement memberships: An empirical analysis. </w:t>
      </w:r>
      <w:proofErr w:type="spellStart"/>
      <w:r w:rsidRPr="00E0102A">
        <w:rPr>
          <w:i/>
          <w:iCs/>
          <w:sz w:val="24"/>
        </w:rPr>
        <w:t>Journal</w:t>
      </w:r>
      <w:proofErr w:type="spellEnd"/>
      <w:r w:rsidRPr="00E0102A">
        <w:rPr>
          <w:i/>
          <w:iCs/>
          <w:sz w:val="24"/>
        </w:rPr>
        <w:t xml:space="preserve"> </w:t>
      </w:r>
      <w:proofErr w:type="spellStart"/>
      <w:r w:rsidRPr="00E0102A">
        <w:rPr>
          <w:i/>
          <w:iCs/>
          <w:sz w:val="24"/>
        </w:rPr>
        <w:t>of</w:t>
      </w:r>
      <w:proofErr w:type="spellEnd"/>
      <w:r w:rsidRPr="00E0102A">
        <w:rPr>
          <w:i/>
          <w:iCs/>
          <w:sz w:val="24"/>
        </w:rPr>
        <w:t xml:space="preserve"> </w:t>
      </w:r>
      <w:proofErr w:type="spellStart"/>
      <w:r w:rsidRPr="00E0102A">
        <w:rPr>
          <w:i/>
          <w:iCs/>
          <w:sz w:val="24"/>
        </w:rPr>
        <w:t>International</w:t>
      </w:r>
      <w:proofErr w:type="spellEnd"/>
      <w:r w:rsidRPr="00E0102A">
        <w:rPr>
          <w:i/>
          <w:iCs/>
          <w:sz w:val="24"/>
        </w:rPr>
        <w:t xml:space="preserve"> </w:t>
      </w:r>
      <w:proofErr w:type="spellStart"/>
      <w:r w:rsidRPr="00E0102A">
        <w:rPr>
          <w:i/>
          <w:iCs/>
          <w:sz w:val="24"/>
        </w:rPr>
        <w:t>Economics</w:t>
      </w:r>
      <w:proofErr w:type="spellEnd"/>
      <w:r w:rsidRPr="00E0102A">
        <w:rPr>
          <w:sz w:val="24"/>
        </w:rPr>
        <w:t xml:space="preserve">, </w:t>
      </w:r>
      <w:r w:rsidRPr="00E0102A">
        <w:rPr>
          <w:i/>
          <w:iCs/>
          <w:sz w:val="24"/>
        </w:rPr>
        <w:t>76</w:t>
      </w:r>
      <w:r w:rsidRPr="00E0102A">
        <w:rPr>
          <w:sz w:val="24"/>
        </w:rPr>
        <w:t>(2), 384-399.</w:t>
      </w:r>
      <w:r w:rsidRPr="00E0102A">
        <w:rPr>
          <w:sz w:val="24"/>
          <w:lang w:val="en-US"/>
        </w:rPr>
        <w:t xml:space="preserve">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Francois, J. F., McQueen, M., &amp; Wignaraja, G. (2005). European Union–developing country FTAs: overview and analysis. </w:t>
      </w:r>
      <w:r w:rsidRPr="00E0102A">
        <w:rPr>
          <w:i/>
          <w:iCs/>
          <w:sz w:val="24"/>
          <w:lang w:val="en-US"/>
        </w:rPr>
        <w:t>World Development</w:t>
      </w:r>
      <w:r w:rsidRPr="00E0102A">
        <w:rPr>
          <w:sz w:val="24"/>
          <w:lang w:val="en-US"/>
        </w:rPr>
        <w:t xml:space="preserve">, </w:t>
      </w:r>
      <w:r w:rsidRPr="00E0102A">
        <w:rPr>
          <w:i/>
          <w:iCs/>
          <w:sz w:val="24"/>
          <w:lang w:val="en-US"/>
        </w:rPr>
        <w:t>33</w:t>
      </w:r>
      <w:r w:rsidRPr="00E0102A">
        <w:rPr>
          <w:sz w:val="24"/>
          <w:lang w:val="en-US"/>
        </w:rPr>
        <w:t xml:space="preserve">(10), 1545-1565.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Fugazza, M., &amp; Robert-Nicoud, F. (2010). The'emulator effect'of the Uruguay round on US regionalism. London, Centre for Economic Policy Research Discussion Paper No.7703</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Németh, G., Szabó, L., &amp; Ciscar, J. C. (2011). Estimation of Armington elasticities in a CGE economy–energy–environment model for Europe. </w:t>
      </w:r>
      <w:proofErr w:type="spellStart"/>
      <w:r w:rsidRPr="00E0102A">
        <w:rPr>
          <w:i/>
          <w:iCs/>
          <w:sz w:val="24"/>
        </w:rPr>
        <w:t>Economic</w:t>
      </w:r>
      <w:proofErr w:type="spellEnd"/>
      <w:r w:rsidRPr="00E0102A">
        <w:rPr>
          <w:i/>
          <w:iCs/>
          <w:sz w:val="24"/>
        </w:rPr>
        <w:t xml:space="preserve"> </w:t>
      </w:r>
      <w:proofErr w:type="spellStart"/>
      <w:r w:rsidRPr="00E0102A">
        <w:rPr>
          <w:i/>
          <w:iCs/>
          <w:sz w:val="24"/>
        </w:rPr>
        <w:t>Modelling</w:t>
      </w:r>
      <w:proofErr w:type="spellEnd"/>
      <w:r w:rsidRPr="00E0102A">
        <w:rPr>
          <w:sz w:val="24"/>
        </w:rPr>
        <w:t xml:space="preserve">, </w:t>
      </w:r>
      <w:r w:rsidRPr="00E0102A">
        <w:rPr>
          <w:i/>
          <w:iCs/>
          <w:sz w:val="24"/>
        </w:rPr>
        <w:t>28</w:t>
      </w:r>
      <w:r w:rsidRPr="00E0102A">
        <w:rPr>
          <w:sz w:val="24"/>
        </w:rPr>
        <w:t>(4), 1993-1999.</w:t>
      </w:r>
      <w:r w:rsidRPr="00E0102A">
        <w:rPr>
          <w:sz w:val="24"/>
          <w:lang w:val="en-US"/>
        </w:rPr>
        <w:t xml:space="preserve">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Georges, P. (2008). Liberalizing NAFTA Rules of Origin: A Dynamic CGE Analysis. </w:t>
      </w:r>
      <w:proofErr w:type="spellStart"/>
      <w:r w:rsidRPr="00E0102A">
        <w:rPr>
          <w:i/>
          <w:iCs/>
          <w:sz w:val="24"/>
        </w:rPr>
        <w:t>Review</w:t>
      </w:r>
      <w:proofErr w:type="spellEnd"/>
      <w:r w:rsidRPr="00E0102A">
        <w:rPr>
          <w:i/>
          <w:iCs/>
          <w:sz w:val="24"/>
        </w:rPr>
        <w:t xml:space="preserve"> </w:t>
      </w:r>
      <w:proofErr w:type="spellStart"/>
      <w:r w:rsidRPr="00E0102A">
        <w:rPr>
          <w:i/>
          <w:iCs/>
          <w:sz w:val="24"/>
        </w:rPr>
        <w:t>of</w:t>
      </w:r>
      <w:proofErr w:type="spellEnd"/>
      <w:r w:rsidRPr="00E0102A">
        <w:rPr>
          <w:i/>
          <w:iCs/>
          <w:sz w:val="24"/>
        </w:rPr>
        <w:t xml:space="preserve"> </w:t>
      </w:r>
      <w:proofErr w:type="spellStart"/>
      <w:r w:rsidRPr="00E0102A">
        <w:rPr>
          <w:i/>
          <w:iCs/>
          <w:sz w:val="24"/>
        </w:rPr>
        <w:t>International</w:t>
      </w:r>
      <w:proofErr w:type="spellEnd"/>
      <w:r w:rsidRPr="00E0102A">
        <w:rPr>
          <w:i/>
          <w:iCs/>
          <w:sz w:val="24"/>
        </w:rPr>
        <w:t xml:space="preserve"> </w:t>
      </w:r>
      <w:proofErr w:type="spellStart"/>
      <w:r w:rsidRPr="00E0102A">
        <w:rPr>
          <w:i/>
          <w:iCs/>
          <w:sz w:val="24"/>
        </w:rPr>
        <w:t>Economics</w:t>
      </w:r>
      <w:proofErr w:type="spellEnd"/>
      <w:r w:rsidRPr="00E0102A">
        <w:rPr>
          <w:sz w:val="24"/>
        </w:rPr>
        <w:t xml:space="preserve">, </w:t>
      </w:r>
      <w:r w:rsidRPr="00E0102A">
        <w:rPr>
          <w:i/>
          <w:iCs/>
          <w:sz w:val="24"/>
        </w:rPr>
        <w:t>16</w:t>
      </w:r>
      <w:r w:rsidRPr="00E0102A">
        <w:rPr>
          <w:sz w:val="24"/>
        </w:rPr>
        <w:t>(4), 672-691.</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Ghosh, M., &amp; Rao, S. (2005). A Canada–US customs union: Potential economic impacts in NAFTA countries. </w:t>
      </w:r>
      <w:r w:rsidRPr="00E0102A">
        <w:rPr>
          <w:i/>
          <w:iCs/>
          <w:sz w:val="24"/>
          <w:lang w:val="en-US"/>
        </w:rPr>
        <w:t>Journal of Policy Modeling</w:t>
      </w:r>
      <w:r w:rsidRPr="00E0102A">
        <w:rPr>
          <w:sz w:val="24"/>
          <w:lang w:val="en-US"/>
        </w:rPr>
        <w:t xml:space="preserve">, </w:t>
      </w:r>
      <w:r w:rsidRPr="00E0102A">
        <w:rPr>
          <w:i/>
          <w:iCs/>
          <w:sz w:val="24"/>
          <w:lang w:val="en-US"/>
        </w:rPr>
        <w:t>27</w:t>
      </w:r>
      <w:r w:rsidRPr="00E0102A">
        <w:rPr>
          <w:sz w:val="24"/>
          <w:lang w:val="en-US"/>
        </w:rPr>
        <w:t xml:space="preserve">(7), 805-827.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Gruber, L. (2000). </w:t>
      </w:r>
      <w:r w:rsidRPr="00E0102A">
        <w:rPr>
          <w:i/>
          <w:iCs/>
          <w:sz w:val="24"/>
          <w:lang w:val="en-US"/>
        </w:rPr>
        <w:t>Ruling the world: Power politics and the rise of supranational institutions</w:t>
      </w:r>
      <w:r w:rsidRPr="00E0102A">
        <w:rPr>
          <w:sz w:val="24"/>
          <w:lang w:val="en-US"/>
        </w:rPr>
        <w:t xml:space="preserve">. Princeton University Press.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Harris, R. (2006), </w:t>
      </w:r>
      <w:proofErr w:type="gramStart"/>
      <w:r w:rsidRPr="00E0102A">
        <w:rPr>
          <w:sz w:val="24"/>
          <w:lang w:val="en-US"/>
        </w:rPr>
        <w:t>The</w:t>
      </w:r>
      <w:proofErr w:type="gramEnd"/>
      <w:r w:rsidRPr="00E0102A">
        <w:rPr>
          <w:sz w:val="24"/>
          <w:lang w:val="en-US"/>
        </w:rPr>
        <w:t xml:space="preserve"> Economic Impact of the Canada-U.S. FTA and NAFTA Agreements for Canada: A Review of the Evidence // </w:t>
      </w:r>
      <w:r w:rsidRPr="00E0102A">
        <w:rPr>
          <w:i/>
          <w:sz w:val="24"/>
          <w:lang w:val="en-US"/>
        </w:rPr>
        <w:t>J. Curtis and Sydor A. (eds.), Foreign Affairs and Intern</w:t>
      </w:r>
      <w:r w:rsidRPr="00E0102A">
        <w:rPr>
          <w:i/>
          <w:sz w:val="24"/>
          <w:lang w:val="en-US"/>
        </w:rPr>
        <w:t>a</w:t>
      </w:r>
      <w:r w:rsidRPr="00E0102A">
        <w:rPr>
          <w:i/>
          <w:sz w:val="24"/>
          <w:lang w:val="en-US"/>
        </w:rPr>
        <w:t>tional Trade</w:t>
      </w:r>
      <w:r w:rsidRPr="00E0102A">
        <w:rPr>
          <w:sz w:val="24"/>
          <w:lang w:val="en-US"/>
        </w:rPr>
        <w:t>. Canada, Ottawa.</w:t>
      </w:r>
    </w:p>
    <w:p w:rsidR="002B6641"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Hertel, T. T. W. (1999). </w:t>
      </w:r>
      <w:r w:rsidRPr="00E0102A">
        <w:rPr>
          <w:i/>
          <w:iCs/>
          <w:sz w:val="24"/>
          <w:lang w:val="en-US"/>
        </w:rPr>
        <w:t>Global trade analysis: modeling and applications</w:t>
      </w:r>
      <w:r w:rsidRPr="00E0102A">
        <w:rPr>
          <w:sz w:val="24"/>
          <w:lang w:val="en-US"/>
        </w:rPr>
        <w:t>. T. W. Hertel (Ed.). Cambridge university press.</w:t>
      </w:r>
    </w:p>
    <w:p w:rsidR="002B6641" w:rsidRPr="00E0102A" w:rsidRDefault="003A0DE2" w:rsidP="00E0102A">
      <w:pPr>
        <w:pStyle w:val="af1"/>
        <w:numPr>
          <w:ilvl w:val="0"/>
          <w:numId w:val="5"/>
        </w:numPr>
        <w:tabs>
          <w:tab w:val="left" w:pos="567"/>
        </w:tabs>
        <w:spacing w:after="120" w:line="240" w:lineRule="auto"/>
        <w:ind w:left="0" w:firstLine="142"/>
        <w:jc w:val="both"/>
        <w:rPr>
          <w:sz w:val="24"/>
          <w:lang w:val="en-US"/>
        </w:rPr>
      </w:pPr>
      <w:r w:rsidRPr="00E0102A">
        <w:rPr>
          <w:lang w:val="en-US"/>
        </w:rPr>
        <w:t xml:space="preserve">Horn, H., Mavroidis, P. C., &amp; Sapir, A. (2010). Beyond the WTO? An anatomy of EU and US preferential trade agreements. </w:t>
      </w:r>
      <w:proofErr w:type="spellStart"/>
      <w:r w:rsidR="002B6641" w:rsidRPr="00E0102A">
        <w:rPr>
          <w:i/>
          <w:iCs/>
        </w:rPr>
        <w:t>The</w:t>
      </w:r>
      <w:proofErr w:type="spellEnd"/>
      <w:r w:rsidR="002B6641" w:rsidRPr="00E0102A">
        <w:rPr>
          <w:i/>
          <w:iCs/>
        </w:rPr>
        <w:t xml:space="preserve"> </w:t>
      </w:r>
      <w:proofErr w:type="spellStart"/>
      <w:r w:rsidR="002B6641" w:rsidRPr="00E0102A">
        <w:rPr>
          <w:i/>
          <w:iCs/>
        </w:rPr>
        <w:t>World</w:t>
      </w:r>
      <w:proofErr w:type="spellEnd"/>
      <w:r w:rsidR="002B6641" w:rsidRPr="00E0102A">
        <w:rPr>
          <w:i/>
          <w:iCs/>
        </w:rPr>
        <w:t xml:space="preserve"> </w:t>
      </w:r>
      <w:proofErr w:type="spellStart"/>
      <w:r w:rsidR="002B6641" w:rsidRPr="00E0102A">
        <w:rPr>
          <w:i/>
          <w:iCs/>
        </w:rPr>
        <w:t>Economy</w:t>
      </w:r>
      <w:proofErr w:type="spellEnd"/>
      <w:r w:rsidR="002B6641" w:rsidRPr="00E0102A">
        <w:t xml:space="preserve">, </w:t>
      </w:r>
      <w:r w:rsidR="002B6641" w:rsidRPr="00E0102A">
        <w:rPr>
          <w:i/>
          <w:iCs/>
        </w:rPr>
        <w:t>33</w:t>
      </w:r>
      <w:r w:rsidR="002B6641" w:rsidRPr="00E0102A">
        <w:t>(11), 1565-1588.</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Lakatos, C., &amp; Walmsley, T. (2012). Investment creation and diversion effects of the ASEAN–China free trade agreement. </w:t>
      </w:r>
      <w:proofErr w:type="spellStart"/>
      <w:r w:rsidRPr="00E0102A">
        <w:rPr>
          <w:i/>
          <w:iCs/>
          <w:sz w:val="24"/>
        </w:rPr>
        <w:t>Economic</w:t>
      </w:r>
      <w:proofErr w:type="spellEnd"/>
      <w:r w:rsidRPr="00E0102A">
        <w:rPr>
          <w:i/>
          <w:iCs/>
          <w:sz w:val="24"/>
        </w:rPr>
        <w:t xml:space="preserve"> </w:t>
      </w:r>
      <w:proofErr w:type="spellStart"/>
      <w:r w:rsidRPr="00E0102A">
        <w:rPr>
          <w:i/>
          <w:iCs/>
          <w:sz w:val="24"/>
        </w:rPr>
        <w:t>Modelling</w:t>
      </w:r>
      <w:proofErr w:type="spellEnd"/>
      <w:r w:rsidRPr="00E0102A">
        <w:rPr>
          <w:sz w:val="24"/>
        </w:rPr>
        <w:t xml:space="preserve">, </w:t>
      </w:r>
      <w:r w:rsidRPr="00E0102A">
        <w:rPr>
          <w:i/>
          <w:iCs/>
          <w:sz w:val="24"/>
        </w:rPr>
        <w:t>29</w:t>
      </w:r>
      <w:r w:rsidRPr="00E0102A">
        <w:rPr>
          <w:sz w:val="24"/>
        </w:rPr>
        <w:t>(3), 766-779.</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Lipsey, R. G. (1970). The Theory of Customs Union: A General Equilibrium Analysis. </w:t>
      </w:r>
      <w:r w:rsidRPr="00E0102A">
        <w:rPr>
          <w:i/>
          <w:iCs/>
          <w:sz w:val="24"/>
          <w:lang w:val="en-US"/>
        </w:rPr>
        <w:t>Lo</w:t>
      </w:r>
      <w:r w:rsidRPr="00E0102A">
        <w:rPr>
          <w:i/>
          <w:iCs/>
          <w:sz w:val="24"/>
          <w:lang w:val="en-US"/>
        </w:rPr>
        <w:t>n</w:t>
      </w:r>
      <w:r w:rsidRPr="00E0102A">
        <w:rPr>
          <w:i/>
          <w:iCs/>
          <w:sz w:val="24"/>
          <w:lang w:val="en-US"/>
        </w:rPr>
        <w:t>don School of Economics, Research Monograph</w:t>
      </w:r>
      <w:r w:rsidRPr="00E0102A">
        <w:rPr>
          <w:sz w:val="24"/>
          <w:lang w:val="en-US"/>
        </w:rPr>
        <w:t xml:space="preserve">, </w:t>
      </w:r>
      <w:r w:rsidRPr="00E0102A">
        <w:rPr>
          <w:i/>
          <w:iCs/>
          <w:sz w:val="24"/>
          <w:lang w:val="en-US"/>
        </w:rPr>
        <w:t>7</w:t>
      </w:r>
      <w:r w:rsidRPr="00E0102A">
        <w:rPr>
          <w:sz w:val="24"/>
          <w:lang w:val="en-US"/>
        </w:rPr>
        <w:t xml:space="preserve">.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Magee, C. S. (2008). New measures of trade creation and trade diversion. </w:t>
      </w:r>
      <w:proofErr w:type="spellStart"/>
      <w:r w:rsidRPr="00E0102A">
        <w:rPr>
          <w:i/>
          <w:iCs/>
          <w:sz w:val="24"/>
        </w:rPr>
        <w:t>Journal</w:t>
      </w:r>
      <w:proofErr w:type="spellEnd"/>
      <w:r w:rsidRPr="00E0102A">
        <w:rPr>
          <w:i/>
          <w:iCs/>
          <w:sz w:val="24"/>
        </w:rPr>
        <w:t xml:space="preserve"> </w:t>
      </w:r>
      <w:proofErr w:type="spellStart"/>
      <w:r w:rsidRPr="00E0102A">
        <w:rPr>
          <w:i/>
          <w:iCs/>
          <w:sz w:val="24"/>
        </w:rPr>
        <w:t>of</w:t>
      </w:r>
      <w:proofErr w:type="spellEnd"/>
      <w:r w:rsidRPr="00E0102A">
        <w:rPr>
          <w:i/>
          <w:iCs/>
          <w:sz w:val="24"/>
        </w:rPr>
        <w:t xml:space="preserve"> </w:t>
      </w:r>
      <w:proofErr w:type="spellStart"/>
      <w:r w:rsidRPr="00E0102A">
        <w:rPr>
          <w:i/>
          <w:iCs/>
          <w:sz w:val="24"/>
        </w:rPr>
        <w:t>International</w:t>
      </w:r>
      <w:proofErr w:type="spellEnd"/>
      <w:r w:rsidRPr="00E0102A">
        <w:rPr>
          <w:i/>
          <w:iCs/>
          <w:sz w:val="24"/>
        </w:rPr>
        <w:t xml:space="preserve"> </w:t>
      </w:r>
      <w:proofErr w:type="spellStart"/>
      <w:r w:rsidRPr="00E0102A">
        <w:rPr>
          <w:i/>
          <w:iCs/>
          <w:sz w:val="24"/>
        </w:rPr>
        <w:t>Economics</w:t>
      </w:r>
      <w:proofErr w:type="spellEnd"/>
      <w:r w:rsidRPr="00E0102A">
        <w:rPr>
          <w:sz w:val="24"/>
        </w:rPr>
        <w:t xml:space="preserve">, </w:t>
      </w:r>
      <w:r w:rsidRPr="00E0102A">
        <w:rPr>
          <w:i/>
          <w:iCs/>
          <w:sz w:val="24"/>
        </w:rPr>
        <w:t>75</w:t>
      </w:r>
      <w:r w:rsidRPr="00E0102A">
        <w:rPr>
          <w:sz w:val="24"/>
        </w:rPr>
        <w:t>(2), 349-362.</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Manger, M. S., &amp; Manger, M. S. (2009). </w:t>
      </w:r>
      <w:r w:rsidRPr="00E0102A">
        <w:rPr>
          <w:i/>
          <w:iCs/>
          <w:sz w:val="24"/>
          <w:lang w:val="en-US"/>
        </w:rPr>
        <w:t>Investing in protection: The politics of preferential trade agreements between north and south</w:t>
      </w:r>
      <w:r w:rsidRPr="00E0102A">
        <w:rPr>
          <w:sz w:val="24"/>
          <w:lang w:val="en-US"/>
        </w:rPr>
        <w:t xml:space="preserve">. </w:t>
      </w:r>
      <w:proofErr w:type="spellStart"/>
      <w:r w:rsidRPr="00E0102A">
        <w:rPr>
          <w:sz w:val="24"/>
        </w:rPr>
        <w:t>Cambridge</w:t>
      </w:r>
      <w:proofErr w:type="spellEnd"/>
      <w:r w:rsidRPr="00E0102A">
        <w:rPr>
          <w:sz w:val="24"/>
        </w:rPr>
        <w:t xml:space="preserve"> </w:t>
      </w:r>
      <w:proofErr w:type="spellStart"/>
      <w:r w:rsidRPr="00E0102A">
        <w:rPr>
          <w:sz w:val="24"/>
        </w:rPr>
        <w:t>University</w:t>
      </w:r>
      <w:proofErr w:type="spellEnd"/>
      <w:r w:rsidRPr="00E0102A">
        <w:rPr>
          <w:sz w:val="24"/>
        </w:rPr>
        <w:t xml:space="preserve"> </w:t>
      </w:r>
      <w:proofErr w:type="spellStart"/>
      <w:r w:rsidRPr="00E0102A">
        <w:rPr>
          <w:sz w:val="24"/>
        </w:rPr>
        <w:t>Press</w:t>
      </w:r>
      <w:proofErr w:type="spellEnd"/>
      <w:r w:rsidRPr="00E0102A">
        <w:rPr>
          <w:sz w:val="24"/>
        </w:rPr>
        <w:t>.</w:t>
      </w:r>
      <w:r w:rsidRPr="00E0102A">
        <w:rPr>
          <w:sz w:val="24"/>
          <w:lang w:val="en-US"/>
        </w:rPr>
        <w:t xml:space="preserve"> </w:t>
      </w:r>
    </w:p>
    <w:p w:rsidR="00720590" w:rsidRPr="00E0102A" w:rsidRDefault="00720590"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Marquez, J. (2000). The puzzling income elasticity of US imports. </w:t>
      </w:r>
      <w:proofErr w:type="spellStart"/>
      <w:r w:rsidRPr="00E0102A">
        <w:rPr>
          <w:i/>
          <w:iCs/>
          <w:sz w:val="24"/>
        </w:rPr>
        <w:t>Washington</w:t>
      </w:r>
      <w:proofErr w:type="spellEnd"/>
      <w:r w:rsidRPr="00E0102A">
        <w:rPr>
          <w:i/>
          <w:iCs/>
          <w:sz w:val="24"/>
        </w:rPr>
        <w:t xml:space="preserve">: </w:t>
      </w:r>
      <w:proofErr w:type="spellStart"/>
      <w:r w:rsidRPr="00E0102A">
        <w:rPr>
          <w:i/>
          <w:iCs/>
          <w:sz w:val="24"/>
        </w:rPr>
        <w:t>Federal</w:t>
      </w:r>
      <w:proofErr w:type="spellEnd"/>
      <w:r w:rsidRPr="00E0102A">
        <w:rPr>
          <w:i/>
          <w:iCs/>
          <w:sz w:val="24"/>
        </w:rPr>
        <w:t xml:space="preserve"> </w:t>
      </w:r>
      <w:proofErr w:type="spellStart"/>
      <w:r w:rsidRPr="00E0102A">
        <w:rPr>
          <w:i/>
          <w:iCs/>
          <w:sz w:val="24"/>
        </w:rPr>
        <w:t>Reserve</w:t>
      </w:r>
      <w:proofErr w:type="spellEnd"/>
      <w:r w:rsidRPr="00E0102A">
        <w:rPr>
          <w:i/>
          <w:iCs/>
          <w:sz w:val="24"/>
        </w:rPr>
        <w:t xml:space="preserve"> </w:t>
      </w:r>
      <w:proofErr w:type="spellStart"/>
      <w:r w:rsidRPr="00E0102A">
        <w:rPr>
          <w:i/>
          <w:iCs/>
          <w:sz w:val="24"/>
        </w:rPr>
        <w:t>Board</w:t>
      </w:r>
      <w:proofErr w:type="spellEnd"/>
      <w:r w:rsidRPr="00E0102A">
        <w:rPr>
          <w:sz w:val="24"/>
        </w:rPr>
        <w:t>.</w:t>
      </w:r>
    </w:p>
    <w:p w:rsidR="00720590" w:rsidRPr="00E0102A" w:rsidRDefault="00720590"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Masih, R., &amp; Masih, A. M. (2000). A reassessment of long-run elasticities of Japanese </w:t>
      </w:r>
      <w:r w:rsidR="00FB0DCE">
        <w:rPr>
          <w:sz w:val="24"/>
          <w:lang w:val="en-US"/>
        </w:rPr>
        <w:t>i</w:t>
      </w:r>
      <w:r w:rsidR="00FB0DCE">
        <w:rPr>
          <w:sz w:val="24"/>
          <w:lang w:val="en-US"/>
        </w:rPr>
        <w:t>m</w:t>
      </w:r>
      <w:r w:rsidR="00FB0DCE">
        <w:rPr>
          <w:sz w:val="24"/>
          <w:lang w:val="en-US"/>
        </w:rPr>
        <w:t>ports</w:t>
      </w:r>
      <w:r w:rsidRPr="00E0102A">
        <w:rPr>
          <w:sz w:val="24"/>
          <w:lang w:val="en-US"/>
        </w:rPr>
        <w:t xml:space="preserve"> demand. </w:t>
      </w:r>
      <w:r w:rsidRPr="00FB0DCE">
        <w:rPr>
          <w:i/>
          <w:iCs/>
          <w:sz w:val="24"/>
          <w:lang w:val="en-US"/>
        </w:rPr>
        <w:t>Journal of Policy Modeling</w:t>
      </w:r>
      <w:r w:rsidRPr="00FB0DCE">
        <w:rPr>
          <w:sz w:val="24"/>
          <w:lang w:val="en-US"/>
        </w:rPr>
        <w:t xml:space="preserve">, </w:t>
      </w:r>
      <w:r w:rsidRPr="00FB0DCE">
        <w:rPr>
          <w:i/>
          <w:iCs/>
          <w:sz w:val="24"/>
          <w:lang w:val="en-US"/>
        </w:rPr>
        <w:t>22</w:t>
      </w:r>
      <w:r w:rsidRPr="00FB0DCE">
        <w:rPr>
          <w:sz w:val="24"/>
          <w:lang w:val="en-US"/>
        </w:rPr>
        <w:t>(5), 625-639.</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lastRenderedPageBreak/>
        <w:t>McDonald, S. (2003). A Standard Computable General Equilibrium Model: Technical Doc</w:t>
      </w:r>
      <w:r w:rsidRPr="00E0102A">
        <w:rPr>
          <w:sz w:val="24"/>
          <w:lang w:val="en-US"/>
        </w:rPr>
        <w:t>u</w:t>
      </w:r>
      <w:r w:rsidRPr="00E0102A">
        <w:rPr>
          <w:sz w:val="24"/>
          <w:lang w:val="en-US"/>
        </w:rPr>
        <w:t xml:space="preserve">mentation. </w:t>
      </w:r>
      <w:r w:rsidRPr="00E0102A">
        <w:rPr>
          <w:i/>
          <w:iCs/>
          <w:sz w:val="24"/>
        </w:rPr>
        <w:t xml:space="preserve">PROVIDE </w:t>
      </w:r>
      <w:proofErr w:type="spellStart"/>
      <w:r w:rsidRPr="00E0102A">
        <w:rPr>
          <w:i/>
          <w:iCs/>
          <w:sz w:val="24"/>
        </w:rPr>
        <w:t>Project</w:t>
      </w:r>
      <w:proofErr w:type="spellEnd"/>
      <w:r w:rsidRPr="00E0102A">
        <w:rPr>
          <w:i/>
          <w:iCs/>
          <w:sz w:val="24"/>
        </w:rPr>
        <w:t xml:space="preserve"> </w:t>
      </w:r>
      <w:proofErr w:type="spellStart"/>
      <w:r w:rsidRPr="00E0102A">
        <w:rPr>
          <w:i/>
          <w:iCs/>
          <w:sz w:val="24"/>
        </w:rPr>
        <w:t>Technical</w:t>
      </w:r>
      <w:proofErr w:type="spellEnd"/>
      <w:r w:rsidRPr="00E0102A">
        <w:rPr>
          <w:i/>
          <w:iCs/>
          <w:sz w:val="24"/>
        </w:rPr>
        <w:t xml:space="preserve"> </w:t>
      </w:r>
      <w:proofErr w:type="spellStart"/>
      <w:r w:rsidRPr="00E0102A">
        <w:rPr>
          <w:i/>
          <w:iCs/>
          <w:sz w:val="24"/>
        </w:rPr>
        <w:t>Paper</w:t>
      </w:r>
      <w:proofErr w:type="spellEnd"/>
      <w:r w:rsidRPr="00E0102A">
        <w:rPr>
          <w:i/>
          <w:iCs/>
          <w:sz w:val="24"/>
        </w:rPr>
        <w:t xml:space="preserve"> 2003</w:t>
      </w:r>
      <w:r w:rsidRPr="00E0102A">
        <w:rPr>
          <w:sz w:val="24"/>
        </w:rPr>
        <w:t xml:space="preserve">, </w:t>
      </w:r>
      <w:r w:rsidRPr="00E0102A">
        <w:rPr>
          <w:i/>
          <w:iCs/>
          <w:sz w:val="24"/>
        </w:rPr>
        <w:t>3</w:t>
      </w:r>
      <w:r w:rsidRPr="00E0102A">
        <w:rPr>
          <w:sz w:val="24"/>
        </w:rPr>
        <w:t>.</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McDonald, S., &amp; Sonmez, Y. (2004). Augmenting the GTAP Database with Data on Inter-Regional Transactions. Sheffield Economics Research Paper 2004:009. The University of Sheffield</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McDonald, S., &amp; Thierfelder, K. (2004). Deriving a global social accounting matrix from GTAP versions 5 and 6 data, GTAP Technical Paper 23. Global Trade Analysis Project: Purdue University.</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McDonald, S., &amp; Thierfelder, K. (2006). The Doha Development Agenda and Africa: Taking Armington Seriously. In </w:t>
      </w:r>
      <w:r w:rsidRPr="00E0102A">
        <w:rPr>
          <w:i/>
          <w:iCs/>
          <w:sz w:val="24"/>
          <w:lang w:val="en-US"/>
        </w:rPr>
        <w:t>9th Annual Conference on Global Economic Analysis</w:t>
      </w:r>
      <w:r w:rsidRPr="00E0102A">
        <w:rPr>
          <w:sz w:val="24"/>
          <w:lang w:val="en-US"/>
        </w:rPr>
        <w:t xml:space="preserve">. </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McDonald, Thierfelder and Robinson. (2007). Globe v1: A SAM Based Global CGE Model using GTAP Data.</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Meade, J. E. (1980). </w:t>
      </w:r>
      <w:r w:rsidRPr="00E0102A">
        <w:rPr>
          <w:i/>
          <w:iCs/>
          <w:sz w:val="24"/>
          <w:lang w:val="en-US"/>
        </w:rPr>
        <w:t>The theory of customs unions</w:t>
      </w:r>
      <w:r w:rsidRPr="00E0102A">
        <w:rPr>
          <w:sz w:val="24"/>
          <w:lang w:val="en-US"/>
        </w:rPr>
        <w:t xml:space="preserve">. </w:t>
      </w:r>
      <w:proofErr w:type="spellStart"/>
      <w:r w:rsidRPr="00E0102A">
        <w:rPr>
          <w:sz w:val="24"/>
        </w:rPr>
        <w:t>Greenwood</w:t>
      </w:r>
      <w:proofErr w:type="spellEnd"/>
      <w:r w:rsidRPr="00E0102A">
        <w:rPr>
          <w:sz w:val="24"/>
        </w:rPr>
        <w:t xml:space="preserve"> </w:t>
      </w:r>
      <w:proofErr w:type="spellStart"/>
      <w:r w:rsidRPr="00E0102A">
        <w:rPr>
          <w:sz w:val="24"/>
        </w:rPr>
        <w:t>Press</w:t>
      </w:r>
      <w:proofErr w:type="spellEnd"/>
      <w:r w:rsidRPr="00E0102A">
        <w:rPr>
          <w:sz w:val="24"/>
        </w:rPr>
        <w:t>.</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Nijkamp, P., Wang, S., &amp; Kremers, H. (2005). Modeling the impacts of international climate change policies in a CGE context: The use of the GTAP-E model. </w:t>
      </w:r>
      <w:proofErr w:type="spellStart"/>
      <w:r w:rsidRPr="00E0102A">
        <w:rPr>
          <w:i/>
          <w:iCs/>
          <w:sz w:val="24"/>
        </w:rPr>
        <w:t>Economic</w:t>
      </w:r>
      <w:proofErr w:type="spellEnd"/>
      <w:r w:rsidRPr="00E0102A">
        <w:rPr>
          <w:i/>
          <w:iCs/>
          <w:sz w:val="24"/>
        </w:rPr>
        <w:t xml:space="preserve"> </w:t>
      </w:r>
      <w:proofErr w:type="spellStart"/>
      <w:r w:rsidRPr="00E0102A">
        <w:rPr>
          <w:i/>
          <w:iCs/>
          <w:sz w:val="24"/>
        </w:rPr>
        <w:t>Modelling</w:t>
      </w:r>
      <w:proofErr w:type="spellEnd"/>
      <w:r w:rsidRPr="00E0102A">
        <w:rPr>
          <w:sz w:val="24"/>
        </w:rPr>
        <w:t xml:space="preserve">, </w:t>
      </w:r>
      <w:r w:rsidRPr="00E0102A">
        <w:rPr>
          <w:i/>
          <w:iCs/>
          <w:sz w:val="24"/>
        </w:rPr>
        <w:t>22</w:t>
      </w:r>
      <w:r w:rsidRPr="00E0102A">
        <w:rPr>
          <w:sz w:val="24"/>
        </w:rPr>
        <w:t>(6), 955-974</w:t>
      </w:r>
      <w:r w:rsidRPr="00E0102A">
        <w:rPr>
          <w:sz w:val="24"/>
          <w:lang w:val="en-US"/>
        </w:rPr>
        <w:t>.</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Pahre, R. (2008). </w:t>
      </w:r>
      <w:r w:rsidRPr="00E0102A">
        <w:rPr>
          <w:i/>
          <w:iCs/>
          <w:sz w:val="24"/>
          <w:lang w:val="en-US"/>
        </w:rPr>
        <w:t>Politics and trade cooperation in the Nineteenth century</w:t>
      </w:r>
      <w:r w:rsidRPr="00E0102A">
        <w:rPr>
          <w:sz w:val="24"/>
          <w:lang w:val="en-US"/>
        </w:rPr>
        <w:t xml:space="preserve">. </w:t>
      </w:r>
      <w:proofErr w:type="spellStart"/>
      <w:r w:rsidRPr="00E0102A">
        <w:rPr>
          <w:sz w:val="24"/>
        </w:rPr>
        <w:t>Cambridge</w:t>
      </w:r>
      <w:proofErr w:type="spellEnd"/>
      <w:r w:rsidRPr="00E0102A">
        <w:rPr>
          <w:sz w:val="24"/>
        </w:rPr>
        <w:t xml:space="preserve"> </w:t>
      </w:r>
      <w:proofErr w:type="spellStart"/>
      <w:r w:rsidRPr="00E0102A">
        <w:rPr>
          <w:sz w:val="24"/>
        </w:rPr>
        <w:t>University</w:t>
      </w:r>
      <w:proofErr w:type="spellEnd"/>
      <w:r w:rsidRPr="00E0102A">
        <w:rPr>
          <w:sz w:val="24"/>
        </w:rPr>
        <w:t xml:space="preserve"> </w:t>
      </w:r>
      <w:proofErr w:type="spellStart"/>
      <w:r w:rsidRPr="00E0102A">
        <w:rPr>
          <w:sz w:val="24"/>
        </w:rPr>
        <w:t>Press</w:t>
      </w:r>
      <w:proofErr w:type="spellEnd"/>
      <w:r w:rsidRPr="00E0102A">
        <w:rPr>
          <w:sz w:val="24"/>
        </w:rPr>
        <w:t>.</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Perali, F., Pieroni, L., &amp; Standardi, G. (2012). World tariff liberalization in agriculture: An assessment using a global CGE trade model for EU15 regions. </w:t>
      </w:r>
      <w:proofErr w:type="spellStart"/>
      <w:r w:rsidRPr="00E0102A">
        <w:rPr>
          <w:i/>
          <w:iCs/>
          <w:sz w:val="24"/>
        </w:rPr>
        <w:t>Journal</w:t>
      </w:r>
      <w:proofErr w:type="spellEnd"/>
      <w:r w:rsidRPr="00E0102A">
        <w:rPr>
          <w:i/>
          <w:iCs/>
          <w:sz w:val="24"/>
        </w:rPr>
        <w:t xml:space="preserve"> </w:t>
      </w:r>
      <w:proofErr w:type="spellStart"/>
      <w:r w:rsidRPr="00E0102A">
        <w:rPr>
          <w:i/>
          <w:iCs/>
          <w:sz w:val="24"/>
        </w:rPr>
        <w:t>of</w:t>
      </w:r>
      <w:proofErr w:type="spellEnd"/>
      <w:r w:rsidRPr="00E0102A">
        <w:rPr>
          <w:i/>
          <w:iCs/>
          <w:sz w:val="24"/>
        </w:rPr>
        <w:t xml:space="preserve"> </w:t>
      </w:r>
      <w:proofErr w:type="spellStart"/>
      <w:r w:rsidRPr="00E0102A">
        <w:rPr>
          <w:i/>
          <w:iCs/>
          <w:sz w:val="24"/>
        </w:rPr>
        <w:t>Policy</w:t>
      </w:r>
      <w:proofErr w:type="spellEnd"/>
      <w:r w:rsidRPr="00E0102A">
        <w:rPr>
          <w:i/>
          <w:iCs/>
          <w:sz w:val="24"/>
        </w:rPr>
        <w:t xml:space="preserve"> </w:t>
      </w:r>
      <w:proofErr w:type="spellStart"/>
      <w:r w:rsidRPr="00E0102A">
        <w:rPr>
          <w:i/>
          <w:iCs/>
          <w:sz w:val="24"/>
        </w:rPr>
        <w:t>Modeling</w:t>
      </w:r>
      <w:proofErr w:type="spellEnd"/>
      <w:r w:rsidRPr="00E0102A">
        <w:rPr>
          <w:sz w:val="24"/>
        </w:rPr>
        <w:t xml:space="preserve">, </w:t>
      </w:r>
      <w:r w:rsidRPr="00E0102A">
        <w:rPr>
          <w:i/>
          <w:iCs/>
          <w:sz w:val="24"/>
        </w:rPr>
        <w:t>34</w:t>
      </w:r>
      <w:r w:rsidRPr="00E0102A">
        <w:rPr>
          <w:sz w:val="24"/>
        </w:rPr>
        <w:t>(2), 155-180.</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Gomes Pereira, M. W., Teixeira, E. C., &amp; Raszap-Skorbiansky, S. (2010). Impacts of the </w:t>
      </w:r>
      <w:proofErr w:type="gramStart"/>
      <w:r w:rsidRPr="00E0102A">
        <w:rPr>
          <w:sz w:val="24"/>
          <w:lang w:val="en-US"/>
        </w:rPr>
        <w:t>doha</w:t>
      </w:r>
      <w:proofErr w:type="gramEnd"/>
      <w:r w:rsidRPr="00E0102A">
        <w:rPr>
          <w:sz w:val="24"/>
          <w:lang w:val="en-US"/>
        </w:rPr>
        <w:t xml:space="preserve"> round on Brazilian, Chinese and Indian agribusiness. </w:t>
      </w:r>
      <w:proofErr w:type="spellStart"/>
      <w:r w:rsidRPr="00E0102A">
        <w:rPr>
          <w:i/>
          <w:iCs/>
          <w:sz w:val="24"/>
        </w:rPr>
        <w:t>China</w:t>
      </w:r>
      <w:proofErr w:type="spellEnd"/>
      <w:r w:rsidRPr="00E0102A">
        <w:rPr>
          <w:i/>
          <w:iCs/>
          <w:sz w:val="24"/>
        </w:rPr>
        <w:t xml:space="preserve"> </w:t>
      </w:r>
      <w:proofErr w:type="spellStart"/>
      <w:r w:rsidRPr="00E0102A">
        <w:rPr>
          <w:i/>
          <w:iCs/>
          <w:sz w:val="24"/>
        </w:rPr>
        <w:t>Economic</w:t>
      </w:r>
      <w:proofErr w:type="spellEnd"/>
      <w:r w:rsidRPr="00E0102A">
        <w:rPr>
          <w:i/>
          <w:iCs/>
          <w:sz w:val="24"/>
        </w:rPr>
        <w:t xml:space="preserve"> </w:t>
      </w:r>
      <w:proofErr w:type="spellStart"/>
      <w:r w:rsidRPr="00E0102A">
        <w:rPr>
          <w:i/>
          <w:iCs/>
          <w:sz w:val="24"/>
        </w:rPr>
        <w:t>Review</w:t>
      </w:r>
      <w:proofErr w:type="spellEnd"/>
      <w:r w:rsidRPr="00E0102A">
        <w:rPr>
          <w:sz w:val="24"/>
        </w:rPr>
        <w:t xml:space="preserve">, </w:t>
      </w:r>
      <w:r w:rsidRPr="00E0102A">
        <w:rPr>
          <w:i/>
          <w:iCs/>
          <w:sz w:val="24"/>
        </w:rPr>
        <w:t>21</w:t>
      </w:r>
      <w:r w:rsidRPr="00E0102A">
        <w:rPr>
          <w:sz w:val="24"/>
        </w:rPr>
        <w:t>(2), 256-271</w:t>
      </w:r>
      <w:r w:rsidRPr="00E0102A">
        <w:rPr>
          <w:sz w:val="24"/>
          <w:lang w:val="en-US"/>
        </w:rPr>
        <w:t>.</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Romalis, J. (2007). NAFTA's and CUSFTA's Impact on International Trade. </w:t>
      </w:r>
      <w:proofErr w:type="spellStart"/>
      <w:r w:rsidRPr="00E0102A">
        <w:rPr>
          <w:i/>
          <w:iCs/>
          <w:sz w:val="24"/>
        </w:rPr>
        <w:t>The</w:t>
      </w:r>
      <w:proofErr w:type="spellEnd"/>
      <w:r w:rsidRPr="00E0102A">
        <w:rPr>
          <w:i/>
          <w:iCs/>
          <w:sz w:val="24"/>
        </w:rPr>
        <w:t xml:space="preserve"> </w:t>
      </w:r>
      <w:proofErr w:type="spellStart"/>
      <w:r w:rsidRPr="00E0102A">
        <w:rPr>
          <w:i/>
          <w:iCs/>
          <w:sz w:val="24"/>
        </w:rPr>
        <w:t>Review</w:t>
      </w:r>
      <w:proofErr w:type="spellEnd"/>
      <w:r w:rsidRPr="00E0102A">
        <w:rPr>
          <w:i/>
          <w:iCs/>
          <w:sz w:val="24"/>
        </w:rPr>
        <w:t xml:space="preserve"> </w:t>
      </w:r>
      <w:proofErr w:type="spellStart"/>
      <w:r w:rsidRPr="00E0102A">
        <w:rPr>
          <w:i/>
          <w:iCs/>
          <w:sz w:val="24"/>
        </w:rPr>
        <w:t>of</w:t>
      </w:r>
      <w:proofErr w:type="spellEnd"/>
      <w:r w:rsidRPr="00E0102A">
        <w:rPr>
          <w:i/>
          <w:iCs/>
          <w:sz w:val="24"/>
        </w:rPr>
        <w:t xml:space="preserve"> </w:t>
      </w:r>
      <w:proofErr w:type="spellStart"/>
      <w:r w:rsidRPr="00E0102A">
        <w:rPr>
          <w:i/>
          <w:iCs/>
          <w:sz w:val="24"/>
        </w:rPr>
        <w:t>Economics</w:t>
      </w:r>
      <w:proofErr w:type="spellEnd"/>
      <w:r w:rsidRPr="00E0102A">
        <w:rPr>
          <w:i/>
          <w:iCs/>
          <w:sz w:val="24"/>
        </w:rPr>
        <w:t xml:space="preserve"> </w:t>
      </w:r>
      <w:proofErr w:type="spellStart"/>
      <w:r w:rsidRPr="00E0102A">
        <w:rPr>
          <w:i/>
          <w:iCs/>
          <w:sz w:val="24"/>
        </w:rPr>
        <w:t>and</w:t>
      </w:r>
      <w:proofErr w:type="spellEnd"/>
      <w:r w:rsidRPr="00E0102A">
        <w:rPr>
          <w:i/>
          <w:iCs/>
          <w:sz w:val="24"/>
        </w:rPr>
        <w:t xml:space="preserve"> </w:t>
      </w:r>
      <w:proofErr w:type="spellStart"/>
      <w:r w:rsidRPr="00E0102A">
        <w:rPr>
          <w:i/>
          <w:iCs/>
          <w:sz w:val="24"/>
        </w:rPr>
        <w:t>Statistics</w:t>
      </w:r>
      <w:proofErr w:type="spellEnd"/>
      <w:r w:rsidRPr="00E0102A">
        <w:rPr>
          <w:sz w:val="24"/>
        </w:rPr>
        <w:t xml:space="preserve">, </w:t>
      </w:r>
      <w:r w:rsidRPr="00E0102A">
        <w:rPr>
          <w:i/>
          <w:iCs/>
          <w:sz w:val="24"/>
        </w:rPr>
        <w:t>89</w:t>
      </w:r>
      <w:r w:rsidRPr="00E0102A">
        <w:rPr>
          <w:sz w:val="24"/>
        </w:rPr>
        <w:t>(3), 416-435.</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Siriwardana, M. (2007). The Australia-United States free trade agreement: An economic evaluation. </w:t>
      </w:r>
      <w:proofErr w:type="spellStart"/>
      <w:r w:rsidRPr="00E0102A">
        <w:rPr>
          <w:i/>
          <w:iCs/>
          <w:sz w:val="24"/>
        </w:rPr>
        <w:t>The</w:t>
      </w:r>
      <w:proofErr w:type="spellEnd"/>
      <w:r w:rsidRPr="00E0102A">
        <w:rPr>
          <w:i/>
          <w:iCs/>
          <w:sz w:val="24"/>
        </w:rPr>
        <w:t xml:space="preserve"> </w:t>
      </w:r>
      <w:proofErr w:type="spellStart"/>
      <w:r w:rsidRPr="00E0102A">
        <w:rPr>
          <w:i/>
          <w:iCs/>
          <w:sz w:val="24"/>
        </w:rPr>
        <w:t>North</w:t>
      </w:r>
      <w:proofErr w:type="spellEnd"/>
      <w:r w:rsidRPr="00E0102A">
        <w:rPr>
          <w:i/>
          <w:iCs/>
          <w:sz w:val="24"/>
        </w:rPr>
        <w:t xml:space="preserve"> </w:t>
      </w:r>
      <w:proofErr w:type="spellStart"/>
      <w:r w:rsidRPr="00E0102A">
        <w:rPr>
          <w:i/>
          <w:iCs/>
          <w:sz w:val="24"/>
        </w:rPr>
        <w:t>American</w:t>
      </w:r>
      <w:proofErr w:type="spellEnd"/>
      <w:r w:rsidRPr="00E0102A">
        <w:rPr>
          <w:i/>
          <w:iCs/>
          <w:sz w:val="24"/>
        </w:rPr>
        <w:t xml:space="preserve"> </w:t>
      </w:r>
      <w:proofErr w:type="spellStart"/>
      <w:r w:rsidRPr="00E0102A">
        <w:rPr>
          <w:i/>
          <w:iCs/>
          <w:sz w:val="24"/>
        </w:rPr>
        <w:t>Journal</w:t>
      </w:r>
      <w:proofErr w:type="spellEnd"/>
      <w:r w:rsidRPr="00E0102A">
        <w:rPr>
          <w:i/>
          <w:iCs/>
          <w:sz w:val="24"/>
        </w:rPr>
        <w:t xml:space="preserve"> </w:t>
      </w:r>
      <w:proofErr w:type="spellStart"/>
      <w:r w:rsidRPr="00E0102A">
        <w:rPr>
          <w:i/>
          <w:iCs/>
          <w:sz w:val="24"/>
        </w:rPr>
        <w:t>of</w:t>
      </w:r>
      <w:proofErr w:type="spellEnd"/>
      <w:r w:rsidRPr="00E0102A">
        <w:rPr>
          <w:i/>
          <w:iCs/>
          <w:sz w:val="24"/>
        </w:rPr>
        <w:t xml:space="preserve"> </w:t>
      </w:r>
      <w:proofErr w:type="spellStart"/>
      <w:r w:rsidRPr="00E0102A">
        <w:rPr>
          <w:i/>
          <w:iCs/>
          <w:sz w:val="24"/>
        </w:rPr>
        <w:t>Economics</w:t>
      </w:r>
      <w:proofErr w:type="spellEnd"/>
      <w:r w:rsidRPr="00E0102A">
        <w:rPr>
          <w:i/>
          <w:iCs/>
          <w:sz w:val="24"/>
        </w:rPr>
        <w:t xml:space="preserve"> </w:t>
      </w:r>
      <w:proofErr w:type="spellStart"/>
      <w:r w:rsidRPr="00E0102A">
        <w:rPr>
          <w:i/>
          <w:iCs/>
          <w:sz w:val="24"/>
        </w:rPr>
        <w:t>and</w:t>
      </w:r>
      <w:proofErr w:type="spellEnd"/>
      <w:r w:rsidRPr="00E0102A">
        <w:rPr>
          <w:i/>
          <w:iCs/>
          <w:sz w:val="24"/>
        </w:rPr>
        <w:t xml:space="preserve"> </w:t>
      </w:r>
      <w:proofErr w:type="spellStart"/>
      <w:r w:rsidRPr="00E0102A">
        <w:rPr>
          <w:i/>
          <w:iCs/>
          <w:sz w:val="24"/>
        </w:rPr>
        <w:t>Finance</w:t>
      </w:r>
      <w:proofErr w:type="spellEnd"/>
      <w:r w:rsidRPr="00E0102A">
        <w:rPr>
          <w:sz w:val="24"/>
        </w:rPr>
        <w:t xml:space="preserve">, </w:t>
      </w:r>
      <w:r w:rsidRPr="00E0102A">
        <w:rPr>
          <w:i/>
          <w:iCs/>
          <w:sz w:val="24"/>
        </w:rPr>
        <w:t>18</w:t>
      </w:r>
      <w:r w:rsidRPr="00E0102A">
        <w:rPr>
          <w:sz w:val="24"/>
        </w:rPr>
        <w:t>(1), 117-133</w:t>
      </w:r>
      <w:r w:rsidRPr="00E0102A">
        <w:rPr>
          <w:sz w:val="24"/>
          <w:lang w:val="en-US"/>
        </w:rPr>
        <w:t>.</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Siriwardana, M., &amp; Yang, J. (2008). GTAP Model Analysis of the Economic Effects of an Australia–China FTA: Welfare and Sectoral Aspects. </w:t>
      </w:r>
      <w:proofErr w:type="spellStart"/>
      <w:r w:rsidRPr="00E0102A">
        <w:rPr>
          <w:i/>
          <w:iCs/>
          <w:sz w:val="24"/>
        </w:rPr>
        <w:t>Global</w:t>
      </w:r>
      <w:proofErr w:type="spellEnd"/>
      <w:r w:rsidRPr="00E0102A">
        <w:rPr>
          <w:i/>
          <w:iCs/>
          <w:sz w:val="24"/>
        </w:rPr>
        <w:t xml:space="preserve"> </w:t>
      </w:r>
      <w:proofErr w:type="spellStart"/>
      <w:r w:rsidRPr="00E0102A">
        <w:rPr>
          <w:i/>
          <w:iCs/>
          <w:sz w:val="24"/>
        </w:rPr>
        <w:t>Economic</w:t>
      </w:r>
      <w:proofErr w:type="spellEnd"/>
      <w:r w:rsidRPr="00E0102A">
        <w:rPr>
          <w:i/>
          <w:iCs/>
          <w:sz w:val="24"/>
        </w:rPr>
        <w:t xml:space="preserve"> </w:t>
      </w:r>
      <w:proofErr w:type="spellStart"/>
      <w:r w:rsidRPr="00E0102A">
        <w:rPr>
          <w:i/>
          <w:iCs/>
          <w:sz w:val="24"/>
        </w:rPr>
        <w:t>Review</w:t>
      </w:r>
      <w:proofErr w:type="spellEnd"/>
      <w:r w:rsidRPr="00E0102A">
        <w:rPr>
          <w:sz w:val="24"/>
        </w:rPr>
        <w:t xml:space="preserve">, </w:t>
      </w:r>
      <w:r w:rsidRPr="00E0102A">
        <w:rPr>
          <w:i/>
          <w:iCs/>
          <w:sz w:val="24"/>
        </w:rPr>
        <w:t>37</w:t>
      </w:r>
      <w:r w:rsidRPr="00E0102A">
        <w:rPr>
          <w:sz w:val="24"/>
        </w:rPr>
        <w:t>(3), 341-362</w:t>
      </w:r>
      <w:r w:rsidRPr="00E0102A">
        <w:rPr>
          <w:sz w:val="24"/>
          <w:lang w:val="en-US"/>
        </w:rPr>
        <w:t>.</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Trefler, D. (2004). The long and short of the Canada-U.S. free trade agreement. </w:t>
      </w:r>
      <w:r w:rsidRPr="00E0102A">
        <w:rPr>
          <w:i/>
          <w:sz w:val="24"/>
          <w:lang w:val="en-US"/>
        </w:rPr>
        <w:t>American Economic Review,</w:t>
      </w:r>
      <w:r w:rsidRPr="00E0102A">
        <w:rPr>
          <w:sz w:val="24"/>
          <w:lang w:val="en-US"/>
        </w:rPr>
        <w:t xml:space="preserve"> 94(4): 870-895.</w:t>
      </w:r>
    </w:p>
    <w:p w:rsidR="00815176" w:rsidRPr="00E0102A" w:rsidRDefault="00815176" w:rsidP="00E0102A">
      <w:pPr>
        <w:pStyle w:val="af1"/>
        <w:numPr>
          <w:ilvl w:val="0"/>
          <w:numId w:val="5"/>
        </w:numPr>
        <w:tabs>
          <w:tab w:val="left" w:pos="567"/>
        </w:tabs>
        <w:spacing w:after="120" w:line="240" w:lineRule="auto"/>
        <w:ind w:left="0" w:firstLine="142"/>
        <w:jc w:val="both"/>
        <w:rPr>
          <w:sz w:val="24"/>
          <w:lang w:val="en-US"/>
        </w:rPr>
      </w:pPr>
      <w:r w:rsidRPr="00E0102A">
        <w:rPr>
          <w:sz w:val="24"/>
          <w:lang w:val="en-US"/>
        </w:rPr>
        <w:t xml:space="preserve">Viner, J. (1950). The Customs Union Issue, Carnegie Endowment for International Peace. </w:t>
      </w:r>
      <w:proofErr w:type="spellStart"/>
      <w:r w:rsidRPr="00E0102A">
        <w:rPr>
          <w:i/>
          <w:iCs/>
          <w:sz w:val="24"/>
        </w:rPr>
        <w:t>New</w:t>
      </w:r>
      <w:proofErr w:type="spellEnd"/>
      <w:r w:rsidRPr="00E0102A">
        <w:rPr>
          <w:i/>
          <w:iCs/>
          <w:sz w:val="24"/>
        </w:rPr>
        <w:t xml:space="preserve"> </w:t>
      </w:r>
      <w:proofErr w:type="spellStart"/>
      <w:r w:rsidRPr="00E0102A">
        <w:rPr>
          <w:i/>
          <w:iCs/>
          <w:sz w:val="24"/>
        </w:rPr>
        <w:t>York</w:t>
      </w:r>
      <w:proofErr w:type="spellEnd"/>
      <w:r w:rsidRPr="00E0102A">
        <w:rPr>
          <w:sz w:val="24"/>
        </w:rPr>
        <w:t>.</w:t>
      </w:r>
    </w:p>
    <w:p w:rsidR="00353A92" w:rsidRPr="00E0102A" w:rsidRDefault="00815176" w:rsidP="00E0102A">
      <w:pPr>
        <w:pStyle w:val="af1"/>
        <w:numPr>
          <w:ilvl w:val="0"/>
          <w:numId w:val="5"/>
        </w:numPr>
        <w:tabs>
          <w:tab w:val="left" w:pos="567"/>
        </w:tabs>
        <w:spacing w:after="120" w:line="240" w:lineRule="auto"/>
        <w:ind w:left="0" w:firstLine="142"/>
        <w:jc w:val="both"/>
        <w:rPr>
          <w:lang w:val="en-US"/>
        </w:rPr>
      </w:pPr>
      <w:r w:rsidRPr="00E0102A">
        <w:rPr>
          <w:sz w:val="24"/>
          <w:lang w:val="en-US"/>
        </w:rPr>
        <w:t xml:space="preserve">Wonnacott P., Wonnacott R. (1981). Is Unilateral Tariff Reduction Preferable to a Custom Union? The Curious Case of the Missing Foreign Tariffs. </w:t>
      </w:r>
      <w:r w:rsidRPr="00E0102A">
        <w:rPr>
          <w:i/>
          <w:sz w:val="24"/>
          <w:lang w:val="en-US"/>
        </w:rPr>
        <w:t>American Economic Review</w:t>
      </w:r>
      <w:r w:rsidRPr="00E0102A">
        <w:rPr>
          <w:sz w:val="24"/>
          <w:lang w:val="en-US"/>
        </w:rPr>
        <w:t>, 71:704-14.</w:t>
      </w:r>
    </w:p>
    <w:sectPr w:rsidR="00353A92" w:rsidRPr="00E0102A" w:rsidSect="003F386A">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568" w:rsidRDefault="00720568">
      <w:r>
        <w:separator/>
      </w:r>
    </w:p>
  </w:endnote>
  <w:endnote w:type="continuationSeparator" w:id="0">
    <w:p w:rsidR="00720568" w:rsidRDefault="0072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Kudriashov-Bold">
    <w:panose1 w:val="00000000000000000000"/>
    <w:charset w:val="CC"/>
    <w:family w:val="auto"/>
    <w:notTrueType/>
    <w:pitch w:val="default"/>
    <w:sig w:usb0="00000201" w:usb1="00000000" w:usb2="00000000" w:usb3="00000000" w:csb0="00000004" w:csb1="00000000"/>
  </w:font>
  <w:font w:name="Kudriashov-Italic">
    <w:panose1 w:val="00000000000000000000"/>
    <w:charset w:val="CC"/>
    <w:family w:val="auto"/>
    <w:notTrueType/>
    <w:pitch w:val="default"/>
    <w:sig w:usb0="00000201" w:usb1="00000000" w:usb2="00000000" w:usb3="00000000" w:csb0="00000004" w:csb1="00000000"/>
  </w:font>
  <w:font w:name="Kudriashov">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9C" w:rsidRPr="005B4F7F" w:rsidRDefault="00CF379C" w:rsidP="005B4F7F">
    <w:pPr>
      <w:pStyle w:val="ab"/>
      <w:ind w:firstLine="0"/>
      <w:jc w:val="center"/>
      <w:rPr>
        <w:lang w:val="en-US"/>
      </w:rPr>
    </w:pPr>
    <w:r>
      <w:fldChar w:fldCharType="begin"/>
    </w:r>
    <w:r>
      <w:instrText xml:space="preserve"> PAGE   \* MERGEFORMAT </w:instrText>
    </w:r>
    <w:r>
      <w:fldChar w:fldCharType="separate"/>
    </w:r>
    <w:r w:rsidR="006F7C76">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568" w:rsidRDefault="00720568">
      <w:pPr>
        <w:spacing w:line="240" w:lineRule="auto"/>
        <w:ind w:firstLine="0"/>
      </w:pPr>
      <w:r>
        <w:separator/>
      </w:r>
    </w:p>
  </w:footnote>
  <w:footnote w:type="continuationSeparator" w:id="0">
    <w:p w:rsidR="00720568" w:rsidRDefault="00720568">
      <w:r>
        <w:continuationSeparator/>
      </w:r>
    </w:p>
  </w:footnote>
  <w:footnote w:id="1">
    <w:p w:rsidR="00CF379C" w:rsidRPr="00523289" w:rsidRDefault="00CF379C" w:rsidP="002064E9">
      <w:pPr>
        <w:pStyle w:val="a3"/>
        <w:spacing w:line="240" w:lineRule="auto"/>
        <w:rPr>
          <w:lang w:val="en-US"/>
        </w:rPr>
      </w:pPr>
      <w:r w:rsidRPr="003F3A4E">
        <w:rPr>
          <w:rStyle w:val="a5"/>
        </w:rPr>
        <w:footnoteRef/>
      </w:r>
      <w:r w:rsidRPr="00523289">
        <w:rPr>
          <w:lang w:val="en-US"/>
        </w:rPr>
        <w:t xml:space="preserve"> We do not consider influence of cancellation of export duties on mineral products as the CGE model assuming impe</w:t>
      </w:r>
      <w:r w:rsidRPr="00523289">
        <w:rPr>
          <w:lang w:val="en-US"/>
        </w:rPr>
        <w:t>r</w:t>
      </w:r>
      <w:r w:rsidRPr="00523289">
        <w:rPr>
          <w:lang w:val="en-US"/>
        </w:rPr>
        <w:t xml:space="preserve">fect replacement between all goods and possibility of essential increase in </w:t>
      </w:r>
      <w:r>
        <w:rPr>
          <w:lang w:val="en-US"/>
        </w:rPr>
        <w:t>production</w:t>
      </w:r>
      <w:r w:rsidRPr="00523289">
        <w:rPr>
          <w:lang w:val="en-US"/>
        </w:rPr>
        <w:t xml:space="preserve"> not really is suitable for modeling of this scenario</w:t>
      </w:r>
      <w:r w:rsidRPr="00523289">
        <w:rPr>
          <w:rStyle w:val="hps"/>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C7E4B"/>
    <w:multiLevelType w:val="hybridMultilevel"/>
    <w:tmpl w:val="53FA0752"/>
    <w:lvl w:ilvl="0" w:tplc="72CA2C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A1039EB"/>
    <w:multiLevelType w:val="hybridMultilevel"/>
    <w:tmpl w:val="7D3E4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EE6734"/>
    <w:multiLevelType w:val="hybridMultilevel"/>
    <w:tmpl w:val="74B6D4C4"/>
    <w:lvl w:ilvl="0" w:tplc="FC9EC990">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F31291"/>
    <w:multiLevelType w:val="hybridMultilevel"/>
    <w:tmpl w:val="E58A7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CA9382F"/>
    <w:multiLevelType w:val="hybridMultilevel"/>
    <w:tmpl w:val="3FEE2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3D"/>
    <w:rsid w:val="00000293"/>
    <w:rsid w:val="00000817"/>
    <w:rsid w:val="0000103F"/>
    <w:rsid w:val="0000192B"/>
    <w:rsid w:val="00001AF8"/>
    <w:rsid w:val="00002226"/>
    <w:rsid w:val="00002D01"/>
    <w:rsid w:val="00006D4F"/>
    <w:rsid w:val="00010A6F"/>
    <w:rsid w:val="00012AA2"/>
    <w:rsid w:val="000130C1"/>
    <w:rsid w:val="00013A9A"/>
    <w:rsid w:val="00013D37"/>
    <w:rsid w:val="0001540D"/>
    <w:rsid w:val="000159E5"/>
    <w:rsid w:val="00016036"/>
    <w:rsid w:val="00017000"/>
    <w:rsid w:val="00020282"/>
    <w:rsid w:val="00022FF0"/>
    <w:rsid w:val="0002357A"/>
    <w:rsid w:val="000238C8"/>
    <w:rsid w:val="00024575"/>
    <w:rsid w:val="00026E97"/>
    <w:rsid w:val="000270B5"/>
    <w:rsid w:val="000278EA"/>
    <w:rsid w:val="000362D2"/>
    <w:rsid w:val="00040B67"/>
    <w:rsid w:val="0004299D"/>
    <w:rsid w:val="00042E8D"/>
    <w:rsid w:val="00043A49"/>
    <w:rsid w:val="00044321"/>
    <w:rsid w:val="00044404"/>
    <w:rsid w:val="0004502C"/>
    <w:rsid w:val="000478B3"/>
    <w:rsid w:val="00050051"/>
    <w:rsid w:val="000513E2"/>
    <w:rsid w:val="000526CC"/>
    <w:rsid w:val="000550E0"/>
    <w:rsid w:val="00055F8A"/>
    <w:rsid w:val="00056BF5"/>
    <w:rsid w:val="000605D9"/>
    <w:rsid w:val="0006093C"/>
    <w:rsid w:val="00063086"/>
    <w:rsid w:val="00063845"/>
    <w:rsid w:val="000639AF"/>
    <w:rsid w:val="00063F0C"/>
    <w:rsid w:val="00064F63"/>
    <w:rsid w:val="00067B51"/>
    <w:rsid w:val="00070595"/>
    <w:rsid w:val="000730A6"/>
    <w:rsid w:val="0007329D"/>
    <w:rsid w:val="00075A5B"/>
    <w:rsid w:val="000771F4"/>
    <w:rsid w:val="000778C5"/>
    <w:rsid w:val="000806A5"/>
    <w:rsid w:val="000809B4"/>
    <w:rsid w:val="00080C82"/>
    <w:rsid w:val="000868D1"/>
    <w:rsid w:val="000910AC"/>
    <w:rsid w:val="000944D0"/>
    <w:rsid w:val="00094C25"/>
    <w:rsid w:val="00096EB8"/>
    <w:rsid w:val="000973D1"/>
    <w:rsid w:val="000A0213"/>
    <w:rsid w:val="000A03BF"/>
    <w:rsid w:val="000A0B63"/>
    <w:rsid w:val="000A1385"/>
    <w:rsid w:val="000A1DDF"/>
    <w:rsid w:val="000A47D9"/>
    <w:rsid w:val="000A64F3"/>
    <w:rsid w:val="000A6A5F"/>
    <w:rsid w:val="000B054B"/>
    <w:rsid w:val="000B1291"/>
    <w:rsid w:val="000B2B04"/>
    <w:rsid w:val="000B327C"/>
    <w:rsid w:val="000B601A"/>
    <w:rsid w:val="000B6821"/>
    <w:rsid w:val="000C213F"/>
    <w:rsid w:val="000C4322"/>
    <w:rsid w:val="000C7CC5"/>
    <w:rsid w:val="000D09A0"/>
    <w:rsid w:val="000D34D7"/>
    <w:rsid w:val="000D38EB"/>
    <w:rsid w:val="000D43D1"/>
    <w:rsid w:val="000D4F26"/>
    <w:rsid w:val="000D70EF"/>
    <w:rsid w:val="000D71D3"/>
    <w:rsid w:val="000D7D15"/>
    <w:rsid w:val="000E3E49"/>
    <w:rsid w:val="000E3F84"/>
    <w:rsid w:val="000E5494"/>
    <w:rsid w:val="000E5CCF"/>
    <w:rsid w:val="000E6171"/>
    <w:rsid w:val="000F0FE1"/>
    <w:rsid w:val="000F1DBD"/>
    <w:rsid w:val="000F284F"/>
    <w:rsid w:val="000F69DC"/>
    <w:rsid w:val="000F6BDF"/>
    <w:rsid w:val="000F79AE"/>
    <w:rsid w:val="000F7BF4"/>
    <w:rsid w:val="0010151F"/>
    <w:rsid w:val="001026A0"/>
    <w:rsid w:val="00102F14"/>
    <w:rsid w:val="00103506"/>
    <w:rsid w:val="001036BC"/>
    <w:rsid w:val="00103CDB"/>
    <w:rsid w:val="00106B7F"/>
    <w:rsid w:val="00106CFE"/>
    <w:rsid w:val="00107667"/>
    <w:rsid w:val="001078F8"/>
    <w:rsid w:val="001101ED"/>
    <w:rsid w:val="00111C7D"/>
    <w:rsid w:val="00112AAA"/>
    <w:rsid w:val="001131B2"/>
    <w:rsid w:val="00113BE7"/>
    <w:rsid w:val="001152C8"/>
    <w:rsid w:val="00116AB4"/>
    <w:rsid w:val="001204C0"/>
    <w:rsid w:val="0012052D"/>
    <w:rsid w:val="0012074F"/>
    <w:rsid w:val="00121018"/>
    <w:rsid w:val="00123845"/>
    <w:rsid w:val="0012453D"/>
    <w:rsid w:val="00124B65"/>
    <w:rsid w:val="00124EC4"/>
    <w:rsid w:val="0012597B"/>
    <w:rsid w:val="00126A7A"/>
    <w:rsid w:val="001274F2"/>
    <w:rsid w:val="001308F5"/>
    <w:rsid w:val="00131A5F"/>
    <w:rsid w:val="00131B3E"/>
    <w:rsid w:val="0013220A"/>
    <w:rsid w:val="00132428"/>
    <w:rsid w:val="0013261A"/>
    <w:rsid w:val="00133F5C"/>
    <w:rsid w:val="00137619"/>
    <w:rsid w:val="0013797C"/>
    <w:rsid w:val="001401C9"/>
    <w:rsid w:val="00140B28"/>
    <w:rsid w:val="001410E8"/>
    <w:rsid w:val="001426A7"/>
    <w:rsid w:val="00144331"/>
    <w:rsid w:val="00145DE2"/>
    <w:rsid w:val="00146DF2"/>
    <w:rsid w:val="00146FBA"/>
    <w:rsid w:val="00147183"/>
    <w:rsid w:val="0015015F"/>
    <w:rsid w:val="0015119E"/>
    <w:rsid w:val="00153461"/>
    <w:rsid w:val="00156822"/>
    <w:rsid w:val="00156D6B"/>
    <w:rsid w:val="001570AD"/>
    <w:rsid w:val="00157D39"/>
    <w:rsid w:val="00161D56"/>
    <w:rsid w:val="00162214"/>
    <w:rsid w:val="00162F65"/>
    <w:rsid w:val="001647D8"/>
    <w:rsid w:val="00165D35"/>
    <w:rsid w:val="001662C9"/>
    <w:rsid w:val="00167874"/>
    <w:rsid w:val="0017419A"/>
    <w:rsid w:val="00176964"/>
    <w:rsid w:val="0017700C"/>
    <w:rsid w:val="001774FE"/>
    <w:rsid w:val="00177EED"/>
    <w:rsid w:val="0018472D"/>
    <w:rsid w:val="00187168"/>
    <w:rsid w:val="001925C1"/>
    <w:rsid w:val="00194DDF"/>
    <w:rsid w:val="00196924"/>
    <w:rsid w:val="00196C1F"/>
    <w:rsid w:val="001970A2"/>
    <w:rsid w:val="0019728F"/>
    <w:rsid w:val="001A1444"/>
    <w:rsid w:val="001A2706"/>
    <w:rsid w:val="001A2864"/>
    <w:rsid w:val="001B061B"/>
    <w:rsid w:val="001B4553"/>
    <w:rsid w:val="001B560F"/>
    <w:rsid w:val="001B624A"/>
    <w:rsid w:val="001B6D2C"/>
    <w:rsid w:val="001B6F5F"/>
    <w:rsid w:val="001C0423"/>
    <w:rsid w:val="001C0F11"/>
    <w:rsid w:val="001C3BCC"/>
    <w:rsid w:val="001C3E2D"/>
    <w:rsid w:val="001C5F34"/>
    <w:rsid w:val="001C67B8"/>
    <w:rsid w:val="001C6C44"/>
    <w:rsid w:val="001C77CF"/>
    <w:rsid w:val="001D0278"/>
    <w:rsid w:val="001D052A"/>
    <w:rsid w:val="001D396B"/>
    <w:rsid w:val="001D5305"/>
    <w:rsid w:val="001E2467"/>
    <w:rsid w:val="001E2B73"/>
    <w:rsid w:val="001E36E6"/>
    <w:rsid w:val="001E37D6"/>
    <w:rsid w:val="001E69DE"/>
    <w:rsid w:val="001E6A29"/>
    <w:rsid w:val="001E7979"/>
    <w:rsid w:val="001F0995"/>
    <w:rsid w:val="001F112E"/>
    <w:rsid w:val="001F17E8"/>
    <w:rsid w:val="001F2AB6"/>
    <w:rsid w:val="001F3DF6"/>
    <w:rsid w:val="001F407D"/>
    <w:rsid w:val="001F7F85"/>
    <w:rsid w:val="00200474"/>
    <w:rsid w:val="00200B63"/>
    <w:rsid w:val="002028AC"/>
    <w:rsid w:val="002041FE"/>
    <w:rsid w:val="002064E9"/>
    <w:rsid w:val="002068B2"/>
    <w:rsid w:val="00206FAF"/>
    <w:rsid w:val="0020765A"/>
    <w:rsid w:val="00207B4E"/>
    <w:rsid w:val="00207F6E"/>
    <w:rsid w:val="0021001A"/>
    <w:rsid w:val="002117A4"/>
    <w:rsid w:val="00211B6E"/>
    <w:rsid w:val="00211F84"/>
    <w:rsid w:val="00212D62"/>
    <w:rsid w:val="002134DA"/>
    <w:rsid w:val="002144A9"/>
    <w:rsid w:val="002144E4"/>
    <w:rsid w:val="00215AFF"/>
    <w:rsid w:val="00216AD9"/>
    <w:rsid w:val="00216C68"/>
    <w:rsid w:val="002233CB"/>
    <w:rsid w:val="002236F3"/>
    <w:rsid w:val="00223A94"/>
    <w:rsid w:val="00223CBB"/>
    <w:rsid w:val="00226552"/>
    <w:rsid w:val="00227EC8"/>
    <w:rsid w:val="00227F07"/>
    <w:rsid w:val="00231167"/>
    <w:rsid w:val="002312D8"/>
    <w:rsid w:val="00234DB8"/>
    <w:rsid w:val="0023524A"/>
    <w:rsid w:val="00236801"/>
    <w:rsid w:val="00237227"/>
    <w:rsid w:val="00237373"/>
    <w:rsid w:val="00241172"/>
    <w:rsid w:val="00241D9D"/>
    <w:rsid w:val="00250A27"/>
    <w:rsid w:val="00254477"/>
    <w:rsid w:val="00254A8E"/>
    <w:rsid w:val="00255F66"/>
    <w:rsid w:val="00256A8F"/>
    <w:rsid w:val="00257016"/>
    <w:rsid w:val="0025741F"/>
    <w:rsid w:val="002574D1"/>
    <w:rsid w:val="00260D22"/>
    <w:rsid w:val="00260F48"/>
    <w:rsid w:val="002617C3"/>
    <w:rsid w:val="002629B2"/>
    <w:rsid w:val="00263322"/>
    <w:rsid w:val="00264296"/>
    <w:rsid w:val="00266EC4"/>
    <w:rsid w:val="002715B6"/>
    <w:rsid w:val="00273769"/>
    <w:rsid w:val="002741FE"/>
    <w:rsid w:val="00274C7B"/>
    <w:rsid w:val="00275C52"/>
    <w:rsid w:val="00276000"/>
    <w:rsid w:val="00280176"/>
    <w:rsid w:val="00280A4E"/>
    <w:rsid w:val="00281B12"/>
    <w:rsid w:val="00281B8D"/>
    <w:rsid w:val="0028321C"/>
    <w:rsid w:val="002864CD"/>
    <w:rsid w:val="0028772F"/>
    <w:rsid w:val="00291B11"/>
    <w:rsid w:val="00291BD5"/>
    <w:rsid w:val="00291BFC"/>
    <w:rsid w:val="00293F56"/>
    <w:rsid w:val="00294110"/>
    <w:rsid w:val="00294ABD"/>
    <w:rsid w:val="00295A2E"/>
    <w:rsid w:val="00295ADB"/>
    <w:rsid w:val="00295C05"/>
    <w:rsid w:val="00296A78"/>
    <w:rsid w:val="002A45D3"/>
    <w:rsid w:val="002A564E"/>
    <w:rsid w:val="002A58DC"/>
    <w:rsid w:val="002A6ACB"/>
    <w:rsid w:val="002B00E3"/>
    <w:rsid w:val="002B20FF"/>
    <w:rsid w:val="002B3EBB"/>
    <w:rsid w:val="002B4A2A"/>
    <w:rsid w:val="002B51D4"/>
    <w:rsid w:val="002B5470"/>
    <w:rsid w:val="002B6641"/>
    <w:rsid w:val="002B7D1A"/>
    <w:rsid w:val="002C05D8"/>
    <w:rsid w:val="002C1FDD"/>
    <w:rsid w:val="002C2033"/>
    <w:rsid w:val="002C3FBA"/>
    <w:rsid w:val="002C7303"/>
    <w:rsid w:val="002C76DA"/>
    <w:rsid w:val="002D0ABE"/>
    <w:rsid w:val="002D0E9D"/>
    <w:rsid w:val="002D227A"/>
    <w:rsid w:val="002D4DE3"/>
    <w:rsid w:val="002D50E8"/>
    <w:rsid w:val="002D608B"/>
    <w:rsid w:val="002D6186"/>
    <w:rsid w:val="002D72D7"/>
    <w:rsid w:val="002D79C7"/>
    <w:rsid w:val="002D7A09"/>
    <w:rsid w:val="002E058D"/>
    <w:rsid w:val="002E5320"/>
    <w:rsid w:val="002E6D96"/>
    <w:rsid w:val="002E723A"/>
    <w:rsid w:val="002F0264"/>
    <w:rsid w:val="002F07B7"/>
    <w:rsid w:val="002F10DD"/>
    <w:rsid w:val="002F1FC9"/>
    <w:rsid w:val="002F2A7D"/>
    <w:rsid w:val="002F4C45"/>
    <w:rsid w:val="00300BDF"/>
    <w:rsid w:val="00301063"/>
    <w:rsid w:val="00302276"/>
    <w:rsid w:val="00302CF0"/>
    <w:rsid w:val="003067FE"/>
    <w:rsid w:val="00306AB1"/>
    <w:rsid w:val="003070C8"/>
    <w:rsid w:val="00310E4E"/>
    <w:rsid w:val="003118D1"/>
    <w:rsid w:val="003137F3"/>
    <w:rsid w:val="00315768"/>
    <w:rsid w:val="00315AE5"/>
    <w:rsid w:val="00316124"/>
    <w:rsid w:val="00317020"/>
    <w:rsid w:val="00317DFD"/>
    <w:rsid w:val="00321513"/>
    <w:rsid w:val="00321755"/>
    <w:rsid w:val="00323AF6"/>
    <w:rsid w:val="003241C8"/>
    <w:rsid w:val="0032449A"/>
    <w:rsid w:val="00330A15"/>
    <w:rsid w:val="00331D47"/>
    <w:rsid w:val="00332C90"/>
    <w:rsid w:val="003357E6"/>
    <w:rsid w:val="00336B12"/>
    <w:rsid w:val="003431DA"/>
    <w:rsid w:val="00343300"/>
    <w:rsid w:val="003436A6"/>
    <w:rsid w:val="00343990"/>
    <w:rsid w:val="00344808"/>
    <w:rsid w:val="00344B94"/>
    <w:rsid w:val="00345FBB"/>
    <w:rsid w:val="003461BB"/>
    <w:rsid w:val="003463E8"/>
    <w:rsid w:val="00350A4F"/>
    <w:rsid w:val="003535C9"/>
    <w:rsid w:val="00353A92"/>
    <w:rsid w:val="00353ED5"/>
    <w:rsid w:val="003559EB"/>
    <w:rsid w:val="00356337"/>
    <w:rsid w:val="003563CE"/>
    <w:rsid w:val="00357D23"/>
    <w:rsid w:val="00360765"/>
    <w:rsid w:val="00360AE0"/>
    <w:rsid w:val="00361600"/>
    <w:rsid w:val="00363F2F"/>
    <w:rsid w:val="0036438F"/>
    <w:rsid w:val="00364700"/>
    <w:rsid w:val="00365969"/>
    <w:rsid w:val="00370839"/>
    <w:rsid w:val="00370887"/>
    <w:rsid w:val="00370A93"/>
    <w:rsid w:val="0037127F"/>
    <w:rsid w:val="00371C2B"/>
    <w:rsid w:val="00371FB3"/>
    <w:rsid w:val="00376455"/>
    <w:rsid w:val="0038041C"/>
    <w:rsid w:val="003809DF"/>
    <w:rsid w:val="00381141"/>
    <w:rsid w:val="00383E27"/>
    <w:rsid w:val="00385328"/>
    <w:rsid w:val="00385919"/>
    <w:rsid w:val="00386BBC"/>
    <w:rsid w:val="00391430"/>
    <w:rsid w:val="00394413"/>
    <w:rsid w:val="003950E6"/>
    <w:rsid w:val="003961CE"/>
    <w:rsid w:val="00396EB2"/>
    <w:rsid w:val="003A0919"/>
    <w:rsid w:val="003A0DE2"/>
    <w:rsid w:val="003A236E"/>
    <w:rsid w:val="003A427C"/>
    <w:rsid w:val="003A46E9"/>
    <w:rsid w:val="003B13F1"/>
    <w:rsid w:val="003B2B62"/>
    <w:rsid w:val="003B33FF"/>
    <w:rsid w:val="003B3BBD"/>
    <w:rsid w:val="003B4B3F"/>
    <w:rsid w:val="003B4F8E"/>
    <w:rsid w:val="003B6AAC"/>
    <w:rsid w:val="003C1B98"/>
    <w:rsid w:val="003C799A"/>
    <w:rsid w:val="003D0B69"/>
    <w:rsid w:val="003D1C85"/>
    <w:rsid w:val="003D461A"/>
    <w:rsid w:val="003D76C9"/>
    <w:rsid w:val="003E0151"/>
    <w:rsid w:val="003E1D43"/>
    <w:rsid w:val="003E5057"/>
    <w:rsid w:val="003E531B"/>
    <w:rsid w:val="003E5A8D"/>
    <w:rsid w:val="003E6345"/>
    <w:rsid w:val="003E6A3B"/>
    <w:rsid w:val="003E7AF2"/>
    <w:rsid w:val="003F0C0A"/>
    <w:rsid w:val="003F1B2D"/>
    <w:rsid w:val="003F386A"/>
    <w:rsid w:val="003F3A4E"/>
    <w:rsid w:val="003F3DAC"/>
    <w:rsid w:val="003F43A9"/>
    <w:rsid w:val="003F5C99"/>
    <w:rsid w:val="003F63FA"/>
    <w:rsid w:val="003F6C23"/>
    <w:rsid w:val="0040436A"/>
    <w:rsid w:val="0040610E"/>
    <w:rsid w:val="00407D3A"/>
    <w:rsid w:val="00407FE2"/>
    <w:rsid w:val="00415A9C"/>
    <w:rsid w:val="004232A5"/>
    <w:rsid w:val="004250B5"/>
    <w:rsid w:val="00427476"/>
    <w:rsid w:val="00427699"/>
    <w:rsid w:val="00427CDD"/>
    <w:rsid w:val="00430035"/>
    <w:rsid w:val="00430B8B"/>
    <w:rsid w:val="0043105D"/>
    <w:rsid w:val="00431618"/>
    <w:rsid w:val="004320F3"/>
    <w:rsid w:val="00433397"/>
    <w:rsid w:val="004374DD"/>
    <w:rsid w:val="00437BB4"/>
    <w:rsid w:val="00440AEA"/>
    <w:rsid w:val="004463D2"/>
    <w:rsid w:val="00446ADA"/>
    <w:rsid w:val="00446B2A"/>
    <w:rsid w:val="00446EBA"/>
    <w:rsid w:val="00450966"/>
    <w:rsid w:val="00451539"/>
    <w:rsid w:val="004522CE"/>
    <w:rsid w:val="00452B64"/>
    <w:rsid w:val="00453E36"/>
    <w:rsid w:val="00457776"/>
    <w:rsid w:val="00462931"/>
    <w:rsid w:val="004629EE"/>
    <w:rsid w:val="00463C0F"/>
    <w:rsid w:val="004646BD"/>
    <w:rsid w:val="00465649"/>
    <w:rsid w:val="004658D0"/>
    <w:rsid w:val="00467329"/>
    <w:rsid w:val="0047077B"/>
    <w:rsid w:val="00473FD5"/>
    <w:rsid w:val="0047535D"/>
    <w:rsid w:val="00476F53"/>
    <w:rsid w:val="004771EE"/>
    <w:rsid w:val="00477AE7"/>
    <w:rsid w:val="00477FFE"/>
    <w:rsid w:val="004813FE"/>
    <w:rsid w:val="00482F82"/>
    <w:rsid w:val="0048471F"/>
    <w:rsid w:val="00484942"/>
    <w:rsid w:val="0048641C"/>
    <w:rsid w:val="00487186"/>
    <w:rsid w:val="00490A65"/>
    <w:rsid w:val="00493D3C"/>
    <w:rsid w:val="0049439E"/>
    <w:rsid w:val="00495935"/>
    <w:rsid w:val="0049626B"/>
    <w:rsid w:val="004964D0"/>
    <w:rsid w:val="00496F3C"/>
    <w:rsid w:val="00497601"/>
    <w:rsid w:val="004A1875"/>
    <w:rsid w:val="004A22B5"/>
    <w:rsid w:val="004A253C"/>
    <w:rsid w:val="004A323C"/>
    <w:rsid w:val="004A3FD3"/>
    <w:rsid w:val="004A45B2"/>
    <w:rsid w:val="004A551B"/>
    <w:rsid w:val="004A5844"/>
    <w:rsid w:val="004B0FBC"/>
    <w:rsid w:val="004B1FCB"/>
    <w:rsid w:val="004B2FE1"/>
    <w:rsid w:val="004B34AD"/>
    <w:rsid w:val="004B76EA"/>
    <w:rsid w:val="004C0ACB"/>
    <w:rsid w:val="004C2217"/>
    <w:rsid w:val="004C22B9"/>
    <w:rsid w:val="004C585D"/>
    <w:rsid w:val="004C58CE"/>
    <w:rsid w:val="004C637C"/>
    <w:rsid w:val="004D067A"/>
    <w:rsid w:val="004D12A9"/>
    <w:rsid w:val="004D16F2"/>
    <w:rsid w:val="004D62B9"/>
    <w:rsid w:val="004D7FE3"/>
    <w:rsid w:val="004E084D"/>
    <w:rsid w:val="004E181C"/>
    <w:rsid w:val="004E2878"/>
    <w:rsid w:val="004E6207"/>
    <w:rsid w:val="004E700D"/>
    <w:rsid w:val="004F00D2"/>
    <w:rsid w:val="004F4C34"/>
    <w:rsid w:val="004F50F3"/>
    <w:rsid w:val="004F530C"/>
    <w:rsid w:val="004F57E0"/>
    <w:rsid w:val="004F5A96"/>
    <w:rsid w:val="004F742E"/>
    <w:rsid w:val="004F7857"/>
    <w:rsid w:val="005007DF"/>
    <w:rsid w:val="0050246D"/>
    <w:rsid w:val="0050365A"/>
    <w:rsid w:val="00504274"/>
    <w:rsid w:val="005043B7"/>
    <w:rsid w:val="00505D03"/>
    <w:rsid w:val="00511518"/>
    <w:rsid w:val="00512451"/>
    <w:rsid w:val="00512865"/>
    <w:rsid w:val="005140EF"/>
    <w:rsid w:val="005142DB"/>
    <w:rsid w:val="00514D79"/>
    <w:rsid w:val="005157B3"/>
    <w:rsid w:val="005160DE"/>
    <w:rsid w:val="00516986"/>
    <w:rsid w:val="00517AE8"/>
    <w:rsid w:val="00517EAD"/>
    <w:rsid w:val="005228A7"/>
    <w:rsid w:val="00522AA0"/>
    <w:rsid w:val="00522B73"/>
    <w:rsid w:val="00523563"/>
    <w:rsid w:val="00524B06"/>
    <w:rsid w:val="00530552"/>
    <w:rsid w:val="005329B2"/>
    <w:rsid w:val="00532ABA"/>
    <w:rsid w:val="0053651A"/>
    <w:rsid w:val="00536877"/>
    <w:rsid w:val="005378C7"/>
    <w:rsid w:val="005404C5"/>
    <w:rsid w:val="00541655"/>
    <w:rsid w:val="00544C88"/>
    <w:rsid w:val="00544F39"/>
    <w:rsid w:val="00546961"/>
    <w:rsid w:val="00547213"/>
    <w:rsid w:val="00547652"/>
    <w:rsid w:val="005515A1"/>
    <w:rsid w:val="0055474C"/>
    <w:rsid w:val="0055675A"/>
    <w:rsid w:val="00560A7B"/>
    <w:rsid w:val="00563729"/>
    <w:rsid w:val="00565D88"/>
    <w:rsid w:val="00570505"/>
    <w:rsid w:val="00570D77"/>
    <w:rsid w:val="005714FA"/>
    <w:rsid w:val="00572B5D"/>
    <w:rsid w:val="00573672"/>
    <w:rsid w:val="00577B43"/>
    <w:rsid w:val="0058164D"/>
    <w:rsid w:val="005864F8"/>
    <w:rsid w:val="005870EB"/>
    <w:rsid w:val="00587553"/>
    <w:rsid w:val="00591E93"/>
    <w:rsid w:val="0059359A"/>
    <w:rsid w:val="0059447E"/>
    <w:rsid w:val="00595CDD"/>
    <w:rsid w:val="005A1C49"/>
    <w:rsid w:val="005A25AA"/>
    <w:rsid w:val="005A33BC"/>
    <w:rsid w:val="005A3615"/>
    <w:rsid w:val="005A56D1"/>
    <w:rsid w:val="005A5B7C"/>
    <w:rsid w:val="005B24A0"/>
    <w:rsid w:val="005B25B0"/>
    <w:rsid w:val="005B4127"/>
    <w:rsid w:val="005B4F7F"/>
    <w:rsid w:val="005B6110"/>
    <w:rsid w:val="005B74DB"/>
    <w:rsid w:val="005C060F"/>
    <w:rsid w:val="005C0975"/>
    <w:rsid w:val="005C277C"/>
    <w:rsid w:val="005C3630"/>
    <w:rsid w:val="005C426C"/>
    <w:rsid w:val="005C4CD4"/>
    <w:rsid w:val="005C63A4"/>
    <w:rsid w:val="005C651C"/>
    <w:rsid w:val="005D0253"/>
    <w:rsid w:val="005D0522"/>
    <w:rsid w:val="005D0AC7"/>
    <w:rsid w:val="005D1528"/>
    <w:rsid w:val="005D40DE"/>
    <w:rsid w:val="005D579B"/>
    <w:rsid w:val="005D6765"/>
    <w:rsid w:val="005D767D"/>
    <w:rsid w:val="005D77AF"/>
    <w:rsid w:val="005E1AF9"/>
    <w:rsid w:val="005E26BD"/>
    <w:rsid w:val="005E5557"/>
    <w:rsid w:val="005E5EDB"/>
    <w:rsid w:val="005E774D"/>
    <w:rsid w:val="005E7C17"/>
    <w:rsid w:val="005F09F8"/>
    <w:rsid w:val="005F247A"/>
    <w:rsid w:val="005F3558"/>
    <w:rsid w:val="005F4E1B"/>
    <w:rsid w:val="005F56BB"/>
    <w:rsid w:val="005F6E2F"/>
    <w:rsid w:val="005F7D09"/>
    <w:rsid w:val="00601C78"/>
    <w:rsid w:val="006030C4"/>
    <w:rsid w:val="006030E6"/>
    <w:rsid w:val="00603498"/>
    <w:rsid w:val="00603A39"/>
    <w:rsid w:val="00604016"/>
    <w:rsid w:val="00606D86"/>
    <w:rsid w:val="00607313"/>
    <w:rsid w:val="00610FC1"/>
    <w:rsid w:val="00612B52"/>
    <w:rsid w:val="0061371B"/>
    <w:rsid w:val="006138F1"/>
    <w:rsid w:val="00614622"/>
    <w:rsid w:val="00616A1E"/>
    <w:rsid w:val="00616FBB"/>
    <w:rsid w:val="00620508"/>
    <w:rsid w:val="006225B8"/>
    <w:rsid w:val="00622B35"/>
    <w:rsid w:val="00624352"/>
    <w:rsid w:val="006249B3"/>
    <w:rsid w:val="00624A44"/>
    <w:rsid w:val="00625622"/>
    <w:rsid w:val="00627588"/>
    <w:rsid w:val="00630B7D"/>
    <w:rsid w:val="006318E9"/>
    <w:rsid w:val="0063194C"/>
    <w:rsid w:val="00632407"/>
    <w:rsid w:val="00633C44"/>
    <w:rsid w:val="00634327"/>
    <w:rsid w:val="006420D7"/>
    <w:rsid w:val="00645A75"/>
    <w:rsid w:val="00645FA0"/>
    <w:rsid w:val="00647F47"/>
    <w:rsid w:val="00647F8D"/>
    <w:rsid w:val="006512B1"/>
    <w:rsid w:val="006520E3"/>
    <w:rsid w:val="00652874"/>
    <w:rsid w:val="00654906"/>
    <w:rsid w:val="006555D1"/>
    <w:rsid w:val="00655E8E"/>
    <w:rsid w:val="006613D0"/>
    <w:rsid w:val="0066703D"/>
    <w:rsid w:val="00667A39"/>
    <w:rsid w:val="00667BF7"/>
    <w:rsid w:val="00670F56"/>
    <w:rsid w:val="00671097"/>
    <w:rsid w:val="0067207B"/>
    <w:rsid w:val="006722E2"/>
    <w:rsid w:val="00673C65"/>
    <w:rsid w:val="00675D85"/>
    <w:rsid w:val="00677D57"/>
    <w:rsid w:val="00680F65"/>
    <w:rsid w:val="00681CE9"/>
    <w:rsid w:val="006861B0"/>
    <w:rsid w:val="0068627B"/>
    <w:rsid w:val="00686A13"/>
    <w:rsid w:val="00686C8B"/>
    <w:rsid w:val="00686DE8"/>
    <w:rsid w:val="0069070D"/>
    <w:rsid w:val="00690A20"/>
    <w:rsid w:val="00690D23"/>
    <w:rsid w:val="00693304"/>
    <w:rsid w:val="00697B33"/>
    <w:rsid w:val="006A16BB"/>
    <w:rsid w:val="006A210A"/>
    <w:rsid w:val="006B200A"/>
    <w:rsid w:val="006B2C43"/>
    <w:rsid w:val="006B561D"/>
    <w:rsid w:val="006B6C66"/>
    <w:rsid w:val="006B7E59"/>
    <w:rsid w:val="006C0670"/>
    <w:rsid w:val="006C0E7F"/>
    <w:rsid w:val="006C3B74"/>
    <w:rsid w:val="006C4E57"/>
    <w:rsid w:val="006C655C"/>
    <w:rsid w:val="006C67B3"/>
    <w:rsid w:val="006C7083"/>
    <w:rsid w:val="006C7C7B"/>
    <w:rsid w:val="006C7D7B"/>
    <w:rsid w:val="006D0AA2"/>
    <w:rsid w:val="006D326C"/>
    <w:rsid w:val="006D6286"/>
    <w:rsid w:val="006E091A"/>
    <w:rsid w:val="006E22E2"/>
    <w:rsid w:val="006E39A1"/>
    <w:rsid w:val="006E404F"/>
    <w:rsid w:val="006E7F96"/>
    <w:rsid w:val="006F13A9"/>
    <w:rsid w:val="006F50D2"/>
    <w:rsid w:val="006F5409"/>
    <w:rsid w:val="006F7C76"/>
    <w:rsid w:val="00701FDD"/>
    <w:rsid w:val="007038DA"/>
    <w:rsid w:val="007069DF"/>
    <w:rsid w:val="0070786E"/>
    <w:rsid w:val="00710CA8"/>
    <w:rsid w:val="0071106F"/>
    <w:rsid w:val="00711427"/>
    <w:rsid w:val="00715581"/>
    <w:rsid w:val="00717C36"/>
    <w:rsid w:val="00717F4B"/>
    <w:rsid w:val="00720568"/>
    <w:rsid w:val="00720590"/>
    <w:rsid w:val="00721CE5"/>
    <w:rsid w:val="00723745"/>
    <w:rsid w:val="00723BC0"/>
    <w:rsid w:val="007244CB"/>
    <w:rsid w:val="0072660A"/>
    <w:rsid w:val="00727C9C"/>
    <w:rsid w:val="00730147"/>
    <w:rsid w:val="00730564"/>
    <w:rsid w:val="007315D8"/>
    <w:rsid w:val="0073160F"/>
    <w:rsid w:val="00731D7F"/>
    <w:rsid w:val="0073630C"/>
    <w:rsid w:val="0073710D"/>
    <w:rsid w:val="007404AF"/>
    <w:rsid w:val="00743464"/>
    <w:rsid w:val="00743CFB"/>
    <w:rsid w:val="007463B4"/>
    <w:rsid w:val="0074676F"/>
    <w:rsid w:val="0075463E"/>
    <w:rsid w:val="007567CF"/>
    <w:rsid w:val="0076093C"/>
    <w:rsid w:val="00761004"/>
    <w:rsid w:val="00761243"/>
    <w:rsid w:val="0076126C"/>
    <w:rsid w:val="0076135A"/>
    <w:rsid w:val="00761439"/>
    <w:rsid w:val="00762A0A"/>
    <w:rsid w:val="007639FA"/>
    <w:rsid w:val="0076597A"/>
    <w:rsid w:val="00765B24"/>
    <w:rsid w:val="007660A8"/>
    <w:rsid w:val="0076671D"/>
    <w:rsid w:val="00767A04"/>
    <w:rsid w:val="00770746"/>
    <w:rsid w:val="007709C7"/>
    <w:rsid w:val="0077131E"/>
    <w:rsid w:val="00772CAD"/>
    <w:rsid w:val="00772EA4"/>
    <w:rsid w:val="00775A9D"/>
    <w:rsid w:val="007764CE"/>
    <w:rsid w:val="0077663A"/>
    <w:rsid w:val="007768E1"/>
    <w:rsid w:val="00777B29"/>
    <w:rsid w:val="007828E0"/>
    <w:rsid w:val="00782B33"/>
    <w:rsid w:val="00783AD7"/>
    <w:rsid w:val="00783DA9"/>
    <w:rsid w:val="0078645C"/>
    <w:rsid w:val="007911E7"/>
    <w:rsid w:val="007A2014"/>
    <w:rsid w:val="007A2507"/>
    <w:rsid w:val="007A25CD"/>
    <w:rsid w:val="007A3699"/>
    <w:rsid w:val="007A3E1E"/>
    <w:rsid w:val="007A434C"/>
    <w:rsid w:val="007A4920"/>
    <w:rsid w:val="007A4D2A"/>
    <w:rsid w:val="007A7AD8"/>
    <w:rsid w:val="007B1BCE"/>
    <w:rsid w:val="007B237B"/>
    <w:rsid w:val="007B3ECF"/>
    <w:rsid w:val="007B4E13"/>
    <w:rsid w:val="007B551D"/>
    <w:rsid w:val="007B57BD"/>
    <w:rsid w:val="007C031A"/>
    <w:rsid w:val="007C2D41"/>
    <w:rsid w:val="007C5B6F"/>
    <w:rsid w:val="007C72AF"/>
    <w:rsid w:val="007D03B4"/>
    <w:rsid w:val="007D085E"/>
    <w:rsid w:val="007D34C2"/>
    <w:rsid w:val="007D38B5"/>
    <w:rsid w:val="007D706A"/>
    <w:rsid w:val="007D75F9"/>
    <w:rsid w:val="007E1B8A"/>
    <w:rsid w:val="007E3B3C"/>
    <w:rsid w:val="007E4261"/>
    <w:rsid w:val="007E457B"/>
    <w:rsid w:val="007E6647"/>
    <w:rsid w:val="007E7426"/>
    <w:rsid w:val="007F08F0"/>
    <w:rsid w:val="007F09C4"/>
    <w:rsid w:val="007F4601"/>
    <w:rsid w:val="007F71E6"/>
    <w:rsid w:val="007F7285"/>
    <w:rsid w:val="0080238E"/>
    <w:rsid w:val="00802C43"/>
    <w:rsid w:val="00802E8D"/>
    <w:rsid w:val="00805131"/>
    <w:rsid w:val="008056F8"/>
    <w:rsid w:val="008068FA"/>
    <w:rsid w:val="008071F0"/>
    <w:rsid w:val="00811124"/>
    <w:rsid w:val="008120EA"/>
    <w:rsid w:val="00813059"/>
    <w:rsid w:val="00813159"/>
    <w:rsid w:val="0081375C"/>
    <w:rsid w:val="00813763"/>
    <w:rsid w:val="0081486B"/>
    <w:rsid w:val="00815176"/>
    <w:rsid w:val="008200BD"/>
    <w:rsid w:val="008201E1"/>
    <w:rsid w:val="0082108C"/>
    <w:rsid w:val="0082144B"/>
    <w:rsid w:val="00824029"/>
    <w:rsid w:val="00826870"/>
    <w:rsid w:val="00831426"/>
    <w:rsid w:val="00831F94"/>
    <w:rsid w:val="00832201"/>
    <w:rsid w:val="0083417F"/>
    <w:rsid w:val="0084096E"/>
    <w:rsid w:val="00841546"/>
    <w:rsid w:val="0084328C"/>
    <w:rsid w:val="00843B68"/>
    <w:rsid w:val="008448E1"/>
    <w:rsid w:val="00845B19"/>
    <w:rsid w:val="00845B6E"/>
    <w:rsid w:val="00846250"/>
    <w:rsid w:val="008500F2"/>
    <w:rsid w:val="00851D3B"/>
    <w:rsid w:val="0085309F"/>
    <w:rsid w:val="00853344"/>
    <w:rsid w:val="00855BBF"/>
    <w:rsid w:val="00855BD3"/>
    <w:rsid w:val="00860DB7"/>
    <w:rsid w:val="00863E44"/>
    <w:rsid w:val="0086429E"/>
    <w:rsid w:val="008650B2"/>
    <w:rsid w:val="00865147"/>
    <w:rsid w:val="00866760"/>
    <w:rsid w:val="00866C4C"/>
    <w:rsid w:val="00871625"/>
    <w:rsid w:val="00871A15"/>
    <w:rsid w:val="008721A4"/>
    <w:rsid w:val="00872F68"/>
    <w:rsid w:val="0087405F"/>
    <w:rsid w:val="00876D7F"/>
    <w:rsid w:val="0087730F"/>
    <w:rsid w:val="0088045A"/>
    <w:rsid w:val="00881A14"/>
    <w:rsid w:val="008823E2"/>
    <w:rsid w:val="00884FE5"/>
    <w:rsid w:val="00891725"/>
    <w:rsid w:val="00893029"/>
    <w:rsid w:val="0089484E"/>
    <w:rsid w:val="00895DC0"/>
    <w:rsid w:val="00896143"/>
    <w:rsid w:val="008A0679"/>
    <w:rsid w:val="008A1103"/>
    <w:rsid w:val="008A27B7"/>
    <w:rsid w:val="008A3934"/>
    <w:rsid w:val="008A416E"/>
    <w:rsid w:val="008A4227"/>
    <w:rsid w:val="008A55B9"/>
    <w:rsid w:val="008A5863"/>
    <w:rsid w:val="008A78E1"/>
    <w:rsid w:val="008B0945"/>
    <w:rsid w:val="008B33B8"/>
    <w:rsid w:val="008B4B77"/>
    <w:rsid w:val="008B4D21"/>
    <w:rsid w:val="008B58C1"/>
    <w:rsid w:val="008C0640"/>
    <w:rsid w:val="008C1161"/>
    <w:rsid w:val="008C129E"/>
    <w:rsid w:val="008C1949"/>
    <w:rsid w:val="008C31F1"/>
    <w:rsid w:val="008C3AC1"/>
    <w:rsid w:val="008C6978"/>
    <w:rsid w:val="008C7897"/>
    <w:rsid w:val="008C790C"/>
    <w:rsid w:val="008C7BFA"/>
    <w:rsid w:val="008D0066"/>
    <w:rsid w:val="008D1280"/>
    <w:rsid w:val="008D19F8"/>
    <w:rsid w:val="008D3082"/>
    <w:rsid w:val="008E05DC"/>
    <w:rsid w:val="008E191F"/>
    <w:rsid w:val="008E1A1F"/>
    <w:rsid w:val="008E22E6"/>
    <w:rsid w:val="008E2556"/>
    <w:rsid w:val="008E2946"/>
    <w:rsid w:val="008E2BC4"/>
    <w:rsid w:val="008E33DD"/>
    <w:rsid w:val="008E5452"/>
    <w:rsid w:val="008E62A7"/>
    <w:rsid w:val="008E6B5E"/>
    <w:rsid w:val="008F38E2"/>
    <w:rsid w:val="008F4D16"/>
    <w:rsid w:val="008F51D3"/>
    <w:rsid w:val="008F526B"/>
    <w:rsid w:val="008F790C"/>
    <w:rsid w:val="00900580"/>
    <w:rsid w:val="00901AC1"/>
    <w:rsid w:val="00905508"/>
    <w:rsid w:val="009062DB"/>
    <w:rsid w:val="009077A1"/>
    <w:rsid w:val="00910AAE"/>
    <w:rsid w:val="00913710"/>
    <w:rsid w:val="009147D5"/>
    <w:rsid w:val="009160DC"/>
    <w:rsid w:val="00917317"/>
    <w:rsid w:val="009179E5"/>
    <w:rsid w:val="00917EE6"/>
    <w:rsid w:val="00920526"/>
    <w:rsid w:val="00921962"/>
    <w:rsid w:val="0092450A"/>
    <w:rsid w:val="00925B98"/>
    <w:rsid w:val="00925EE9"/>
    <w:rsid w:val="00926494"/>
    <w:rsid w:val="00926569"/>
    <w:rsid w:val="00927FBC"/>
    <w:rsid w:val="00930ED5"/>
    <w:rsid w:val="0093195E"/>
    <w:rsid w:val="00931B3C"/>
    <w:rsid w:val="00933704"/>
    <w:rsid w:val="00933FC9"/>
    <w:rsid w:val="009350A7"/>
    <w:rsid w:val="00935CCF"/>
    <w:rsid w:val="0093636F"/>
    <w:rsid w:val="00936717"/>
    <w:rsid w:val="00936D99"/>
    <w:rsid w:val="00937994"/>
    <w:rsid w:val="009379C0"/>
    <w:rsid w:val="00940BCE"/>
    <w:rsid w:val="0094602D"/>
    <w:rsid w:val="00947C0D"/>
    <w:rsid w:val="00955EC9"/>
    <w:rsid w:val="00957403"/>
    <w:rsid w:val="00961352"/>
    <w:rsid w:val="00963282"/>
    <w:rsid w:val="00966A32"/>
    <w:rsid w:val="00970216"/>
    <w:rsid w:val="009708CF"/>
    <w:rsid w:val="00973D43"/>
    <w:rsid w:val="00974110"/>
    <w:rsid w:val="00974946"/>
    <w:rsid w:val="009749EC"/>
    <w:rsid w:val="00975CD1"/>
    <w:rsid w:val="00977003"/>
    <w:rsid w:val="00977424"/>
    <w:rsid w:val="00977E1C"/>
    <w:rsid w:val="009809BD"/>
    <w:rsid w:val="00980BAC"/>
    <w:rsid w:val="0098128A"/>
    <w:rsid w:val="00981297"/>
    <w:rsid w:val="009813FD"/>
    <w:rsid w:val="009818AF"/>
    <w:rsid w:val="00981EA5"/>
    <w:rsid w:val="0098252B"/>
    <w:rsid w:val="0098316D"/>
    <w:rsid w:val="009833C2"/>
    <w:rsid w:val="00993C16"/>
    <w:rsid w:val="00993F68"/>
    <w:rsid w:val="009968F2"/>
    <w:rsid w:val="009A0AA4"/>
    <w:rsid w:val="009A1A7C"/>
    <w:rsid w:val="009A23D8"/>
    <w:rsid w:val="009A274F"/>
    <w:rsid w:val="009A2EA1"/>
    <w:rsid w:val="009A4993"/>
    <w:rsid w:val="009A5594"/>
    <w:rsid w:val="009A59B5"/>
    <w:rsid w:val="009A6C7B"/>
    <w:rsid w:val="009A798A"/>
    <w:rsid w:val="009A79FF"/>
    <w:rsid w:val="009B08A3"/>
    <w:rsid w:val="009B10A7"/>
    <w:rsid w:val="009B1137"/>
    <w:rsid w:val="009B33CC"/>
    <w:rsid w:val="009B511C"/>
    <w:rsid w:val="009B6659"/>
    <w:rsid w:val="009B7E43"/>
    <w:rsid w:val="009C02D4"/>
    <w:rsid w:val="009C4FA4"/>
    <w:rsid w:val="009C50D8"/>
    <w:rsid w:val="009C5A1F"/>
    <w:rsid w:val="009C71C2"/>
    <w:rsid w:val="009C74CE"/>
    <w:rsid w:val="009D080B"/>
    <w:rsid w:val="009D1048"/>
    <w:rsid w:val="009D1E77"/>
    <w:rsid w:val="009D2732"/>
    <w:rsid w:val="009D451D"/>
    <w:rsid w:val="009D4CAB"/>
    <w:rsid w:val="009D5505"/>
    <w:rsid w:val="009E0332"/>
    <w:rsid w:val="009E23BF"/>
    <w:rsid w:val="009E6139"/>
    <w:rsid w:val="009E6CA9"/>
    <w:rsid w:val="009E7EFA"/>
    <w:rsid w:val="009F197E"/>
    <w:rsid w:val="009F2927"/>
    <w:rsid w:val="009F359B"/>
    <w:rsid w:val="009F3AF4"/>
    <w:rsid w:val="009F5BB0"/>
    <w:rsid w:val="009F760B"/>
    <w:rsid w:val="00A040E0"/>
    <w:rsid w:val="00A041A2"/>
    <w:rsid w:val="00A0723F"/>
    <w:rsid w:val="00A072AE"/>
    <w:rsid w:val="00A07494"/>
    <w:rsid w:val="00A07706"/>
    <w:rsid w:val="00A1116E"/>
    <w:rsid w:val="00A11917"/>
    <w:rsid w:val="00A14268"/>
    <w:rsid w:val="00A15B09"/>
    <w:rsid w:val="00A2292C"/>
    <w:rsid w:val="00A2299D"/>
    <w:rsid w:val="00A239CF"/>
    <w:rsid w:val="00A23E9E"/>
    <w:rsid w:val="00A247F0"/>
    <w:rsid w:val="00A2546A"/>
    <w:rsid w:val="00A259F6"/>
    <w:rsid w:val="00A2621E"/>
    <w:rsid w:val="00A321DE"/>
    <w:rsid w:val="00A326C1"/>
    <w:rsid w:val="00A32E6A"/>
    <w:rsid w:val="00A34706"/>
    <w:rsid w:val="00A3575D"/>
    <w:rsid w:val="00A357E9"/>
    <w:rsid w:val="00A358BC"/>
    <w:rsid w:val="00A35EB5"/>
    <w:rsid w:val="00A36B70"/>
    <w:rsid w:val="00A4180D"/>
    <w:rsid w:val="00A425E1"/>
    <w:rsid w:val="00A42913"/>
    <w:rsid w:val="00A42A39"/>
    <w:rsid w:val="00A436CF"/>
    <w:rsid w:val="00A44A54"/>
    <w:rsid w:val="00A4642D"/>
    <w:rsid w:val="00A543A6"/>
    <w:rsid w:val="00A54CD3"/>
    <w:rsid w:val="00A54E2D"/>
    <w:rsid w:val="00A553FF"/>
    <w:rsid w:val="00A55C6B"/>
    <w:rsid w:val="00A55DA0"/>
    <w:rsid w:val="00A570AA"/>
    <w:rsid w:val="00A60558"/>
    <w:rsid w:val="00A6151C"/>
    <w:rsid w:val="00A6181E"/>
    <w:rsid w:val="00A62748"/>
    <w:rsid w:val="00A6523D"/>
    <w:rsid w:val="00A66A00"/>
    <w:rsid w:val="00A71DAD"/>
    <w:rsid w:val="00A72141"/>
    <w:rsid w:val="00A7346F"/>
    <w:rsid w:val="00A8672D"/>
    <w:rsid w:val="00A86957"/>
    <w:rsid w:val="00A8790E"/>
    <w:rsid w:val="00A87B44"/>
    <w:rsid w:val="00A93D70"/>
    <w:rsid w:val="00A95023"/>
    <w:rsid w:val="00AA17BA"/>
    <w:rsid w:val="00AA1CF1"/>
    <w:rsid w:val="00AA28D1"/>
    <w:rsid w:val="00AB6CDF"/>
    <w:rsid w:val="00AB7926"/>
    <w:rsid w:val="00AC160C"/>
    <w:rsid w:val="00AC1DF8"/>
    <w:rsid w:val="00AC4C22"/>
    <w:rsid w:val="00AC5D95"/>
    <w:rsid w:val="00AC7E1E"/>
    <w:rsid w:val="00AD0247"/>
    <w:rsid w:val="00AD05A5"/>
    <w:rsid w:val="00AD0E56"/>
    <w:rsid w:val="00AD10A5"/>
    <w:rsid w:val="00AD1911"/>
    <w:rsid w:val="00AD2799"/>
    <w:rsid w:val="00AD3148"/>
    <w:rsid w:val="00AD314E"/>
    <w:rsid w:val="00AD4C63"/>
    <w:rsid w:val="00AD4D12"/>
    <w:rsid w:val="00AD5903"/>
    <w:rsid w:val="00AD790A"/>
    <w:rsid w:val="00AE25B8"/>
    <w:rsid w:val="00AE2C14"/>
    <w:rsid w:val="00AE30FF"/>
    <w:rsid w:val="00AE3FC5"/>
    <w:rsid w:val="00AE4188"/>
    <w:rsid w:val="00AE42B5"/>
    <w:rsid w:val="00AE4ECF"/>
    <w:rsid w:val="00AE56FF"/>
    <w:rsid w:val="00AE7468"/>
    <w:rsid w:val="00AE7EAF"/>
    <w:rsid w:val="00AF2ECA"/>
    <w:rsid w:val="00AF419F"/>
    <w:rsid w:val="00AF51FC"/>
    <w:rsid w:val="00AF551C"/>
    <w:rsid w:val="00AF6E90"/>
    <w:rsid w:val="00AF77B2"/>
    <w:rsid w:val="00B0031A"/>
    <w:rsid w:val="00B02620"/>
    <w:rsid w:val="00B02C3D"/>
    <w:rsid w:val="00B03B67"/>
    <w:rsid w:val="00B0417F"/>
    <w:rsid w:val="00B04269"/>
    <w:rsid w:val="00B05D6A"/>
    <w:rsid w:val="00B05EA1"/>
    <w:rsid w:val="00B07C73"/>
    <w:rsid w:val="00B12426"/>
    <w:rsid w:val="00B164CE"/>
    <w:rsid w:val="00B1698E"/>
    <w:rsid w:val="00B20211"/>
    <w:rsid w:val="00B20B14"/>
    <w:rsid w:val="00B20B2C"/>
    <w:rsid w:val="00B20BCA"/>
    <w:rsid w:val="00B217EA"/>
    <w:rsid w:val="00B22629"/>
    <w:rsid w:val="00B234BE"/>
    <w:rsid w:val="00B2453A"/>
    <w:rsid w:val="00B25853"/>
    <w:rsid w:val="00B25EA6"/>
    <w:rsid w:val="00B30896"/>
    <w:rsid w:val="00B30CF6"/>
    <w:rsid w:val="00B31AE0"/>
    <w:rsid w:val="00B321CB"/>
    <w:rsid w:val="00B33004"/>
    <w:rsid w:val="00B346CC"/>
    <w:rsid w:val="00B34FFD"/>
    <w:rsid w:val="00B35610"/>
    <w:rsid w:val="00B373AA"/>
    <w:rsid w:val="00B37538"/>
    <w:rsid w:val="00B41904"/>
    <w:rsid w:val="00B41995"/>
    <w:rsid w:val="00B41D37"/>
    <w:rsid w:val="00B42D98"/>
    <w:rsid w:val="00B4312D"/>
    <w:rsid w:val="00B43A88"/>
    <w:rsid w:val="00B43EF0"/>
    <w:rsid w:val="00B452C4"/>
    <w:rsid w:val="00B456D7"/>
    <w:rsid w:val="00B47881"/>
    <w:rsid w:val="00B5089C"/>
    <w:rsid w:val="00B50BE4"/>
    <w:rsid w:val="00B515FE"/>
    <w:rsid w:val="00B52400"/>
    <w:rsid w:val="00B54B5D"/>
    <w:rsid w:val="00B57370"/>
    <w:rsid w:val="00B624F0"/>
    <w:rsid w:val="00B629E1"/>
    <w:rsid w:val="00B63A9B"/>
    <w:rsid w:val="00B6565F"/>
    <w:rsid w:val="00B67099"/>
    <w:rsid w:val="00B6756A"/>
    <w:rsid w:val="00B70E6C"/>
    <w:rsid w:val="00B71D49"/>
    <w:rsid w:val="00B71DA3"/>
    <w:rsid w:val="00B71DE7"/>
    <w:rsid w:val="00B73AD0"/>
    <w:rsid w:val="00B73CE3"/>
    <w:rsid w:val="00B75304"/>
    <w:rsid w:val="00B804D6"/>
    <w:rsid w:val="00B80F78"/>
    <w:rsid w:val="00B843C7"/>
    <w:rsid w:val="00B85B5E"/>
    <w:rsid w:val="00B85BD5"/>
    <w:rsid w:val="00B86B8D"/>
    <w:rsid w:val="00B87EF3"/>
    <w:rsid w:val="00B903D4"/>
    <w:rsid w:val="00B92835"/>
    <w:rsid w:val="00B9351D"/>
    <w:rsid w:val="00B93C65"/>
    <w:rsid w:val="00B94D9C"/>
    <w:rsid w:val="00BA0974"/>
    <w:rsid w:val="00BA1ACB"/>
    <w:rsid w:val="00BA4396"/>
    <w:rsid w:val="00BA49AD"/>
    <w:rsid w:val="00BA4CAE"/>
    <w:rsid w:val="00BA5564"/>
    <w:rsid w:val="00BA620E"/>
    <w:rsid w:val="00BA66E1"/>
    <w:rsid w:val="00BB0391"/>
    <w:rsid w:val="00BB0B66"/>
    <w:rsid w:val="00BB0E83"/>
    <w:rsid w:val="00BB1364"/>
    <w:rsid w:val="00BB2528"/>
    <w:rsid w:val="00BB3E4A"/>
    <w:rsid w:val="00BC04B5"/>
    <w:rsid w:val="00BC3A16"/>
    <w:rsid w:val="00BC45C2"/>
    <w:rsid w:val="00BC4C3F"/>
    <w:rsid w:val="00BC4D30"/>
    <w:rsid w:val="00BC4E1C"/>
    <w:rsid w:val="00BC5BF6"/>
    <w:rsid w:val="00BC625A"/>
    <w:rsid w:val="00BC692E"/>
    <w:rsid w:val="00BD2634"/>
    <w:rsid w:val="00BD2925"/>
    <w:rsid w:val="00BD2B33"/>
    <w:rsid w:val="00BD3A5B"/>
    <w:rsid w:val="00BD5720"/>
    <w:rsid w:val="00BD5C5D"/>
    <w:rsid w:val="00BD693C"/>
    <w:rsid w:val="00BD7AA4"/>
    <w:rsid w:val="00BE0BA5"/>
    <w:rsid w:val="00BE15E6"/>
    <w:rsid w:val="00BE4DB2"/>
    <w:rsid w:val="00BE55F4"/>
    <w:rsid w:val="00BE618C"/>
    <w:rsid w:val="00BE62D9"/>
    <w:rsid w:val="00BE7088"/>
    <w:rsid w:val="00BF2B7F"/>
    <w:rsid w:val="00BF31EC"/>
    <w:rsid w:val="00BF5757"/>
    <w:rsid w:val="00C04598"/>
    <w:rsid w:val="00C0601A"/>
    <w:rsid w:val="00C0612C"/>
    <w:rsid w:val="00C070B0"/>
    <w:rsid w:val="00C107DD"/>
    <w:rsid w:val="00C11E82"/>
    <w:rsid w:val="00C128EE"/>
    <w:rsid w:val="00C12E4C"/>
    <w:rsid w:val="00C134DC"/>
    <w:rsid w:val="00C138B1"/>
    <w:rsid w:val="00C1451A"/>
    <w:rsid w:val="00C14D2F"/>
    <w:rsid w:val="00C16147"/>
    <w:rsid w:val="00C2069C"/>
    <w:rsid w:val="00C2298F"/>
    <w:rsid w:val="00C2438E"/>
    <w:rsid w:val="00C258CC"/>
    <w:rsid w:val="00C261C0"/>
    <w:rsid w:val="00C27FF6"/>
    <w:rsid w:val="00C316D8"/>
    <w:rsid w:val="00C3237B"/>
    <w:rsid w:val="00C341FD"/>
    <w:rsid w:val="00C34A8E"/>
    <w:rsid w:val="00C35242"/>
    <w:rsid w:val="00C35913"/>
    <w:rsid w:val="00C37431"/>
    <w:rsid w:val="00C429EF"/>
    <w:rsid w:val="00C517C8"/>
    <w:rsid w:val="00C52EA5"/>
    <w:rsid w:val="00C53008"/>
    <w:rsid w:val="00C54578"/>
    <w:rsid w:val="00C554B3"/>
    <w:rsid w:val="00C566C2"/>
    <w:rsid w:val="00C57B59"/>
    <w:rsid w:val="00C57FED"/>
    <w:rsid w:val="00C64614"/>
    <w:rsid w:val="00C64FFB"/>
    <w:rsid w:val="00C65E00"/>
    <w:rsid w:val="00C66713"/>
    <w:rsid w:val="00C67485"/>
    <w:rsid w:val="00C7005F"/>
    <w:rsid w:val="00C70C7D"/>
    <w:rsid w:val="00C72519"/>
    <w:rsid w:val="00C72878"/>
    <w:rsid w:val="00C7482F"/>
    <w:rsid w:val="00C753FA"/>
    <w:rsid w:val="00C75ED0"/>
    <w:rsid w:val="00C76EE0"/>
    <w:rsid w:val="00C83B09"/>
    <w:rsid w:val="00C83EE3"/>
    <w:rsid w:val="00C84E7B"/>
    <w:rsid w:val="00C853D6"/>
    <w:rsid w:val="00C85EF3"/>
    <w:rsid w:val="00C92E81"/>
    <w:rsid w:val="00C94011"/>
    <w:rsid w:val="00C942F2"/>
    <w:rsid w:val="00C944A9"/>
    <w:rsid w:val="00C95F9A"/>
    <w:rsid w:val="00C96DD4"/>
    <w:rsid w:val="00CA0E41"/>
    <w:rsid w:val="00CA1019"/>
    <w:rsid w:val="00CA12F0"/>
    <w:rsid w:val="00CA1928"/>
    <w:rsid w:val="00CA1FE4"/>
    <w:rsid w:val="00CA4C29"/>
    <w:rsid w:val="00CA51E6"/>
    <w:rsid w:val="00CA5948"/>
    <w:rsid w:val="00CA5EA1"/>
    <w:rsid w:val="00CA5EF9"/>
    <w:rsid w:val="00CA6680"/>
    <w:rsid w:val="00CA7577"/>
    <w:rsid w:val="00CB0384"/>
    <w:rsid w:val="00CB2797"/>
    <w:rsid w:val="00CB6742"/>
    <w:rsid w:val="00CB6EEF"/>
    <w:rsid w:val="00CB76C4"/>
    <w:rsid w:val="00CC1992"/>
    <w:rsid w:val="00CC1BCD"/>
    <w:rsid w:val="00CC288F"/>
    <w:rsid w:val="00CC29F2"/>
    <w:rsid w:val="00CC2A7A"/>
    <w:rsid w:val="00CC31B8"/>
    <w:rsid w:val="00CC3DE6"/>
    <w:rsid w:val="00CC58F9"/>
    <w:rsid w:val="00CC5D95"/>
    <w:rsid w:val="00CC6C5B"/>
    <w:rsid w:val="00CC7BAC"/>
    <w:rsid w:val="00CC7CBF"/>
    <w:rsid w:val="00CD160F"/>
    <w:rsid w:val="00CD31C7"/>
    <w:rsid w:val="00CD34A8"/>
    <w:rsid w:val="00CD443C"/>
    <w:rsid w:val="00CD5740"/>
    <w:rsid w:val="00CD63A5"/>
    <w:rsid w:val="00CE0189"/>
    <w:rsid w:val="00CE1E76"/>
    <w:rsid w:val="00CE2DE6"/>
    <w:rsid w:val="00CE2FC8"/>
    <w:rsid w:val="00CF2205"/>
    <w:rsid w:val="00CF234F"/>
    <w:rsid w:val="00CF2D1F"/>
    <w:rsid w:val="00CF379C"/>
    <w:rsid w:val="00CF4CE8"/>
    <w:rsid w:val="00CF5637"/>
    <w:rsid w:val="00D0057E"/>
    <w:rsid w:val="00D035C2"/>
    <w:rsid w:val="00D037B4"/>
    <w:rsid w:val="00D0408A"/>
    <w:rsid w:val="00D04AF8"/>
    <w:rsid w:val="00D04E97"/>
    <w:rsid w:val="00D055E6"/>
    <w:rsid w:val="00D06C8E"/>
    <w:rsid w:val="00D06D5F"/>
    <w:rsid w:val="00D1035B"/>
    <w:rsid w:val="00D114B4"/>
    <w:rsid w:val="00D11795"/>
    <w:rsid w:val="00D14412"/>
    <w:rsid w:val="00D1540F"/>
    <w:rsid w:val="00D16E88"/>
    <w:rsid w:val="00D21AE5"/>
    <w:rsid w:val="00D21CD7"/>
    <w:rsid w:val="00D22DB5"/>
    <w:rsid w:val="00D25ADB"/>
    <w:rsid w:val="00D25B31"/>
    <w:rsid w:val="00D3003E"/>
    <w:rsid w:val="00D30DDF"/>
    <w:rsid w:val="00D3402E"/>
    <w:rsid w:val="00D36322"/>
    <w:rsid w:val="00D36E43"/>
    <w:rsid w:val="00D404A4"/>
    <w:rsid w:val="00D40AB2"/>
    <w:rsid w:val="00D42895"/>
    <w:rsid w:val="00D43030"/>
    <w:rsid w:val="00D44D78"/>
    <w:rsid w:val="00D455A1"/>
    <w:rsid w:val="00D459E8"/>
    <w:rsid w:val="00D46735"/>
    <w:rsid w:val="00D47C7E"/>
    <w:rsid w:val="00D47D79"/>
    <w:rsid w:val="00D501FB"/>
    <w:rsid w:val="00D502A4"/>
    <w:rsid w:val="00D508A9"/>
    <w:rsid w:val="00D50B7E"/>
    <w:rsid w:val="00D51B1E"/>
    <w:rsid w:val="00D52D73"/>
    <w:rsid w:val="00D542C8"/>
    <w:rsid w:val="00D6056E"/>
    <w:rsid w:val="00D61AC8"/>
    <w:rsid w:val="00D6324C"/>
    <w:rsid w:val="00D645A2"/>
    <w:rsid w:val="00D65939"/>
    <w:rsid w:val="00D65C68"/>
    <w:rsid w:val="00D703AF"/>
    <w:rsid w:val="00D708FB"/>
    <w:rsid w:val="00D7113F"/>
    <w:rsid w:val="00D71508"/>
    <w:rsid w:val="00D7180C"/>
    <w:rsid w:val="00D720AE"/>
    <w:rsid w:val="00D73367"/>
    <w:rsid w:val="00D74320"/>
    <w:rsid w:val="00D75262"/>
    <w:rsid w:val="00D7552B"/>
    <w:rsid w:val="00D77142"/>
    <w:rsid w:val="00D77828"/>
    <w:rsid w:val="00D8168B"/>
    <w:rsid w:val="00D82D88"/>
    <w:rsid w:val="00D84A59"/>
    <w:rsid w:val="00D87542"/>
    <w:rsid w:val="00D87CA5"/>
    <w:rsid w:val="00D90BFF"/>
    <w:rsid w:val="00D91AF6"/>
    <w:rsid w:val="00D91D2D"/>
    <w:rsid w:val="00D93678"/>
    <w:rsid w:val="00D946DF"/>
    <w:rsid w:val="00D95652"/>
    <w:rsid w:val="00D95AB6"/>
    <w:rsid w:val="00D964F7"/>
    <w:rsid w:val="00D975F8"/>
    <w:rsid w:val="00DA03DC"/>
    <w:rsid w:val="00DA14D8"/>
    <w:rsid w:val="00DA5018"/>
    <w:rsid w:val="00DA5DC9"/>
    <w:rsid w:val="00DA7039"/>
    <w:rsid w:val="00DB175C"/>
    <w:rsid w:val="00DB3C1C"/>
    <w:rsid w:val="00DB4867"/>
    <w:rsid w:val="00DC080B"/>
    <w:rsid w:val="00DC1C96"/>
    <w:rsid w:val="00DC2FAA"/>
    <w:rsid w:val="00DC4045"/>
    <w:rsid w:val="00DC4488"/>
    <w:rsid w:val="00DC637C"/>
    <w:rsid w:val="00DC7D70"/>
    <w:rsid w:val="00DD0316"/>
    <w:rsid w:val="00DD2522"/>
    <w:rsid w:val="00DD2A23"/>
    <w:rsid w:val="00DD2AA5"/>
    <w:rsid w:val="00DE0329"/>
    <w:rsid w:val="00DE0586"/>
    <w:rsid w:val="00DE0A07"/>
    <w:rsid w:val="00DE0B0A"/>
    <w:rsid w:val="00DE4030"/>
    <w:rsid w:val="00DE6899"/>
    <w:rsid w:val="00DE7551"/>
    <w:rsid w:val="00DF0A67"/>
    <w:rsid w:val="00DF1124"/>
    <w:rsid w:val="00DF19E4"/>
    <w:rsid w:val="00DF3C30"/>
    <w:rsid w:val="00DF7104"/>
    <w:rsid w:val="00DF76E4"/>
    <w:rsid w:val="00E001A7"/>
    <w:rsid w:val="00E0102A"/>
    <w:rsid w:val="00E01BE6"/>
    <w:rsid w:val="00E02068"/>
    <w:rsid w:val="00E021EA"/>
    <w:rsid w:val="00E03551"/>
    <w:rsid w:val="00E05912"/>
    <w:rsid w:val="00E061FF"/>
    <w:rsid w:val="00E06D9C"/>
    <w:rsid w:val="00E11181"/>
    <w:rsid w:val="00E11729"/>
    <w:rsid w:val="00E1366F"/>
    <w:rsid w:val="00E13C56"/>
    <w:rsid w:val="00E17B87"/>
    <w:rsid w:val="00E2164D"/>
    <w:rsid w:val="00E21E10"/>
    <w:rsid w:val="00E228A1"/>
    <w:rsid w:val="00E22BF9"/>
    <w:rsid w:val="00E2464A"/>
    <w:rsid w:val="00E2552E"/>
    <w:rsid w:val="00E26239"/>
    <w:rsid w:val="00E26EE4"/>
    <w:rsid w:val="00E27B55"/>
    <w:rsid w:val="00E337D0"/>
    <w:rsid w:val="00E34E51"/>
    <w:rsid w:val="00E3539A"/>
    <w:rsid w:val="00E35C20"/>
    <w:rsid w:val="00E35E11"/>
    <w:rsid w:val="00E3660F"/>
    <w:rsid w:val="00E41528"/>
    <w:rsid w:val="00E41630"/>
    <w:rsid w:val="00E41DE5"/>
    <w:rsid w:val="00E44C60"/>
    <w:rsid w:val="00E46523"/>
    <w:rsid w:val="00E479D9"/>
    <w:rsid w:val="00E47DEE"/>
    <w:rsid w:val="00E51EC3"/>
    <w:rsid w:val="00E521FC"/>
    <w:rsid w:val="00E53B9F"/>
    <w:rsid w:val="00E53C7B"/>
    <w:rsid w:val="00E55158"/>
    <w:rsid w:val="00E55D7E"/>
    <w:rsid w:val="00E575FB"/>
    <w:rsid w:val="00E5792D"/>
    <w:rsid w:val="00E57DD0"/>
    <w:rsid w:val="00E60BA3"/>
    <w:rsid w:val="00E6485A"/>
    <w:rsid w:val="00E65783"/>
    <w:rsid w:val="00E676D4"/>
    <w:rsid w:val="00E70CB3"/>
    <w:rsid w:val="00E747E3"/>
    <w:rsid w:val="00E748BB"/>
    <w:rsid w:val="00E759B2"/>
    <w:rsid w:val="00E75D92"/>
    <w:rsid w:val="00E77F1D"/>
    <w:rsid w:val="00E80A43"/>
    <w:rsid w:val="00E81557"/>
    <w:rsid w:val="00E83418"/>
    <w:rsid w:val="00E84C8D"/>
    <w:rsid w:val="00E85D19"/>
    <w:rsid w:val="00E85EF9"/>
    <w:rsid w:val="00E85F32"/>
    <w:rsid w:val="00E90C0D"/>
    <w:rsid w:val="00E90D74"/>
    <w:rsid w:val="00E90E22"/>
    <w:rsid w:val="00E91154"/>
    <w:rsid w:val="00E91648"/>
    <w:rsid w:val="00E91B84"/>
    <w:rsid w:val="00E928DF"/>
    <w:rsid w:val="00E9489E"/>
    <w:rsid w:val="00E97A3E"/>
    <w:rsid w:val="00EA1372"/>
    <w:rsid w:val="00EA346B"/>
    <w:rsid w:val="00EA36C6"/>
    <w:rsid w:val="00EA38CF"/>
    <w:rsid w:val="00EA4F42"/>
    <w:rsid w:val="00EA54FD"/>
    <w:rsid w:val="00EA71C5"/>
    <w:rsid w:val="00EB05CD"/>
    <w:rsid w:val="00EB0BA1"/>
    <w:rsid w:val="00EB2747"/>
    <w:rsid w:val="00EB28F0"/>
    <w:rsid w:val="00EB2E58"/>
    <w:rsid w:val="00EB3823"/>
    <w:rsid w:val="00EB4325"/>
    <w:rsid w:val="00EB5DC7"/>
    <w:rsid w:val="00EB6C14"/>
    <w:rsid w:val="00EC0C46"/>
    <w:rsid w:val="00EC14EF"/>
    <w:rsid w:val="00EC25C3"/>
    <w:rsid w:val="00EC3275"/>
    <w:rsid w:val="00EC6B7F"/>
    <w:rsid w:val="00ED2DA4"/>
    <w:rsid w:val="00ED372A"/>
    <w:rsid w:val="00ED427A"/>
    <w:rsid w:val="00ED46AD"/>
    <w:rsid w:val="00ED4C35"/>
    <w:rsid w:val="00ED66E6"/>
    <w:rsid w:val="00EE03FA"/>
    <w:rsid w:val="00EE0F31"/>
    <w:rsid w:val="00EE13E5"/>
    <w:rsid w:val="00EE3ED2"/>
    <w:rsid w:val="00EE6487"/>
    <w:rsid w:val="00EF04F5"/>
    <w:rsid w:val="00EF0D0B"/>
    <w:rsid w:val="00EF33CB"/>
    <w:rsid w:val="00EF3ACC"/>
    <w:rsid w:val="00EF4AF4"/>
    <w:rsid w:val="00EF4DBF"/>
    <w:rsid w:val="00EF5050"/>
    <w:rsid w:val="00EF525B"/>
    <w:rsid w:val="00EF5779"/>
    <w:rsid w:val="00F05B79"/>
    <w:rsid w:val="00F063AC"/>
    <w:rsid w:val="00F07D88"/>
    <w:rsid w:val="00F11013"/>
    <w:rsid w:val="00F13109"/>
    <w:rsid w:val="00F142FB"/>
    <w:rsid w:val="00F17329"/>
    <w:rsid w:val="00F20E78"/>
    <w:rsid w:val="00F2146C"/>
    <w:rsid w:val="00F21504"/>
    <w:rsid w:val="00F215D5"/>
    <w:rsid w:val="00F232D5"/>
    <w:rsid w:val="00F2551D"/>
    <w:rsid w:val="00F25BE2"/>
    <w:rsid w:val="00F25DA8"/>
    <w:rsid w:val="00F26863"/>
    <w:rsid w:val="00F273DD"/>
    <w:rsid w:val="00F30DD3"/>
    <w:rsid w:val="00F31B22"/>
    <w:rsid w:val="00F33504"/>
    <w:rsid w:val="00F336FB"/>
    <w:rsid w:val="00F34364"/>
    <w:rsid w:val="00F3487F"/>
    <w:rsid w:val="00F362D4"/>
    <w:rsid w:val="00F417F2"/>
    <w:rsid w:val="00F4493E"/>
    <w:rsid w:val="00F44B4C"/>
    <w:rsid w:val="00F459E4"/>
    <w:rsid w:val="00F4794F"/>
    <w:rsid w:val="00F52AC9"/>
    <w:rsid w:val="00F54919"/>
    <w:rsid w:val="00F55189"/>
    <w:rsid w:val="00F5547E"/>
    <w:rsid w:val="00F60F37"/>
    <w:rsid w:val="00F61045"/>
    <w:rsid w:val="00F61206"/>
    <w:rsid w:val="00F641AE"/>
    <w:rsid w:val="00F652C6"/>
    <w:rsid w:val="00F66BB9"/>
    <w:rsid w:val="00F66C3C"/>
    <w:rsid w:val="00F66DAE"/>
    <w:rsid w:val="00F673DE"/>
    <w:rsid w:val="00F67501"/>
    <w:rsid w:val="00F706E4"/>
    <w:rsid w:val="00F730C6"/>
    <w:rsid w:val="00F748EF"/>
    <w:rsid w:val="00F74D19"/>
    <w:rsid w:val="00F76835"/>
    <w:rsid w:val="00F805E7"/>
    <w:rsid w:val="00F807FB"/>
    <w:rsid w:val="00F80D2C"/>
    <w:rsid w:val="00F82DEE"/>
    <w:rsid w:val="00F83828"/>
    <w:rsid w:val="00F84762"/>
    <w:rsid w:val="00F85D66"/>
    <w:rsid w:val="00F8696E"/>
    <w:rsid w:val="00F935C4"/>
    <w:rsid w:val="00F9427A"/>
    <w:rsid w:val="00F95E9F"/>
    <w:rsid w:val="00F979D1"/>
    <w:rsid w:val="00F97B0D"/>
    <w:rsid w:val="00FA34DA"/>
    <w:rsid w:val="00FA3F97"/>
    <w:rsid w:val="00FA5976"/>
    <w:rsid w:val="00FA59A6"/>
    <w:rsid w:val="00FB0615"/>
    <w:rsid w:val="00FB0DCE"/>
    <w:rsid w:val="00FB224F"/>
    <w:rsid w:val="00FB3B14"/>
    <w:rsid w:val="00FB45F4"/>
    <w:rsid w:val="00FB7D67"/>
    <w:rsid w:val="00FC2B34"/>
    <w:rsid w:val="00FC2C00"/>
    <w:rsid w:val="00FC3C8D"/>
    <w:rsid w:val="00FC59E4"/>
    <w:rsid w:val="00FC662C"/>
    <w:rsid w:val="00FD1E51"/>
    <w:rsid w:val="00FD1FDA"/>
    <w:rsid w:val="00FD2635"/>
    <w:rsid w:val="00FD6589"/>
    <w:rsid w:val="00FD70AD"/>
    <w:rsid w:val="00FE17DB"/>
    <w:rsid w:val="00FE2B85"/>
    <w:rsid w:val="00FE5A66"/>
    <w:rsid w:val="00FE5DD9"/>
    <w:rsid w:val="00FE620A"/>
    <w:rsid w:val="00FE7C90"/>
    <w:rsid w:val="00FF0667"/>
    <w:rsid w:val="00FF37D1"/>
    <w:rsid w:val="00FF46E9"/>
    <w:rsid w:val="00FF5CAC"/>
    <w:rsid w:val="00FF6892"/>
    <w:rsid w:val="00FF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Ordinary"/>
    <w:qFormat/>
    <w:rsid w:val="00F706E4"/>
    <w:pPr>
      <w:spacing w:line="360" w:lineRule="auto"/>
      <w:ind w:firstLine="720"/>
      <w:jc w:val="both"/>
    </w:pPr>
    <w:rPr>
      <w:rFonts w:eastAsia="Calibri"/>
      <w:sz w:val="26"/>
    </w:rPr>
  </w:style>
  <w:style w:type="paragraph" w:styleId="1">
    <w:name w:val="heading 1"/>
    <w:basedOn w:val="a"/>
    <w:next w:val="a"/>
    <w:link w:val="10"/>
    <w:qFormat/>
    <w:rsid w:val="004C58CE"/>
    <w:pPr>
      <w:keepNext/>
      <w:spacing w:before="240" w:after="240" w:line="240" w:lineRule="auto"/>
      <w:ind w:firstLine="0"/>
      <w:outlineLvl w:val="0"/>
    </w:pPr>
    <w:rPr>
      <w:b/>
      <w:bCs/>
      <w:kern w:val="32"/>
      <w:sz w:val="30"/>
      <w:szCs w:val="30"/>
    </w:rPr>
  </w:style>
  <w:style w:type="paragraph" w:styleId="2">
    <w:name w:val="heading 2"/>
    <w:basedOn w:val="a"/>
    <w:next w:val="a"/>
    <w:link w:val="20"/>
    <w:qFormat/>
    <w:rsid w:val="00D52D73"/>
    <w:pPr>
      <w:keepNext/>
      <w:spacing w:before="120" w:after="120"/>
      <w:ind w:firstLine="0"/>
      <w:outlineLvl w:val="1"/>
    </w:pPr>
    <w:rPr>
      <w:rFonts w:ascii="Arial" w:hAnsi="Arial" w:cs="Arial"/>
      <w:b/>
      <w:bCs/>
      <w:iCs/>
      <w:sz w:val="28"/>
      <w:szCs w:val="28"/>
    </w:rPr>
  </w:style>
  <w:style w:type="paragraph" w:styleId="3">
    <w:name w:val="heading 3"/>
    <w:basedOn w:val="a"/>
    <w:next w:val="a"/>
    <w:link w:val="30"/>
    <w:qFormat/>
    <w:rsid w:val="009077A1"/>
    <w:pPr>
      <w:keepNext/>
      <w:spacing w:before="240" w:after="120"/>
      <w:ind w:firstLine="709"/>
      <w:outlineLvl w:val="2"/>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2 Знак,Текст сноски Знак1 Знак Знак"/>
    <w:basedOn w:val="a"/>
    <w:link w:val="a4"/>
    <w:semiHidden/>
    <w:rsid w:val="0066703D"/>
    <w:pPr>
      <w:ind w:firstLine="0"/>
    </w:pPr>
    <w:rPr>
      <w:sz w:val="20"/>
    </w:rPr>
  </w:style>
  <w:style w:type="character" w:customStyle="1" w:styleId="a4">
    <w:name w:val="Текст сноски Знак"/>
    <w:aliases w:val="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3"/>
    <w:semiHidden/>
    <w:locked/>
    <w:rsid w:val="0066703D"/>
    <w:rPr>
      <w:rFonts w:eastAsia="Calibri"/>
      <w:lang w:val="ru-RU" w:eastAsia="ru-RU" w:bidi="ar-SA"/>
    </w:rPr>
  </w:style>
  <w:style w:type="character" w:styleId="a5">
    <w:name w:val="footnote reference"/>
    <w:aliases w:val="Знак сноски-FN,Ciae niinee-FN,SUPERS,Знак сноски 1,Ciae niinee 1,Referencia nota al pie,Ссылка на сноску 45,Appel note de bas de page,fr,Used by Word for Help footnote symbols"/>
    <w:basedOn w:val="a0"/>
    <w:semiHidden/>
    <w:rsid w:val="0066703D"/>
    <w:rPr>
      <w:rFonts w:cs="Times New Roman"/>
      <w:vertAlign w:val="superscript"/>
    </w:rPr>
  </w:style>
  <w:style w:type="paragraph" w:customStyle="1" w:styleId="A20">
    <w:name w:val="A_подраздел 2"/>
    <w:basedOn w:val="2"/>
    <w:rsid w:val="0066703D"/>
    <w:pPr>
      <w:spacing w:after="240" w:line="240" w:lineRule="auto"/>
    </w:pPr>
    <w:rPr>
      <w:rFonts w:ascii="Times New Roman" w:hAnsi="Times New Roman" w:cs="Times New Roman"/>
      <w:bCs w:val="0"/>
      <w:i/>
      <w:iCs w:val="0"/>
    </w:rPr>
  </w:style>
  <w:style w:type="paragraph" w:customStyle="1" w:styleId="A30">
    <w:name w:val="A_подраздел 3"/>
    <w:basedOn w:val="a"/>
    <w:rsid w:val="0066703D"/>
    <w:pPr>
      <w:keepNext/>
      <w:spacing w:before="360" w:after="120"/>
      <w:ind w:firstLine="709"/>
      <w:outlineLvl w:val="2"/>
    </w:pPr>
    <w:rPr>
      <w:i/>
      <w:sz w:val="28"/>
      <w:szCs w:val="28"/>
    </w:rPr>
  </w:style>
  <w:style w:type="paragraph" w:customStyle="1" w:styleId="ConsPlusNormal">
    <w:name w:val="ConsPlusNormal"/>
    <w:rsid w:val="0066703D"/>
    <w:pPr>
      <w:widowControl w:val="0"/>
      <w:autoSpaceDE w:val="0"/>
      <w:autoSpaceDN w:val="0"/>
      <w:adjustRightInd w:val="0"/>
      <w:ind w:firstLine="720"/>
    </w:pPr>
    <w:rPr>
      <w:rFonts w:ascii="Arial" w:eastAsia="Calibri" w:hAnsi="Arial" w:cs="Arial"/>
    </w:rPr>
  </w:style>
  <w:style w:type="paragraph" w:customStyle="1" w:styleId="a6">
    <w:name w:val="Номер РИС_ТАБ"/>
    <w:basedOn w:val="a"/>
    <w:next w:val="a7"/>
    <w:rsid w:val="0066703D"/>
    <w:pPr>
      <w:keepNext/>
      <w:ind w:firstLine="0"/>
      <w:jc w:val="left"/>
    </w:pPr>
    <w:rPr>
      <w:i/>
      <w:smallCaps/>
    </w:rPr>
  </w:style>
  <w:style w:type="character" w:styleId="a8">
    <w:name w:val="annotation reference"/>
    <w:basedOn w:val="a0"/>
    <w:semiHidden/>
    <w:rsid w:val="0066703D"/>
    <w:rPr>
      <w:rFonts w:cs="Times New Roman"/>
      <w:sz w:val="16"/>
      <w:szCs w:val="16"/>
    </w:rPr>
  </w:style>
  <w:style w:type="paragraph" w:styleId="a9">
    <w:name w:val="annotation text"/>
    <w:basedOn w:val="a"/>
    <w:link w:val="aa"/>
    <w:semiHidden/>
    <w:rsid w:val="0066703D"/>
    <w:rPr>
      <w:sz w:val="20"/>
    </w:rPr>
  </w:style>
  <w:style w:type="character" w:customStyle="1" w:styleId="aa">
    <w:name w:val="Текст примечания Знак"/>
    <w:basedOn w:val="a0"/>
    <w:link w:val="a9"/>
    <w:semiHidden/>
    <w:locked/>
    <w:rsid w:val="0066703D"/>
    <w:rPr>
      <w:rFonts w:eastAsia="Calibri"/>
      <w:lang w:val="ru-RU" w:eastAsia="ru-RU" w:bidi="ar-SA"/>
    </w:rPr>
  </w:style>
  <w:style w:type="paragraph" w:styleId="ab">
    <w:name w:val="footer"/>
    <w:basedOn w:val="a"/>
    <w:link w:val="ac"/>
    <w:rsid w:val="0066703D"/>
    <w:pPr>
      <w:tabs>
        <w:tab w:val="center" w:pos="4677"/>
        <w:tab w:val="right" w:pos="9355"/>
      </w:tabs>
    </w:pPr>
  </w:style>
  <w:style w:type="character" w:customStyle="1" w:styleId="ac">
    <w:name w:val="Нижний колонтитул Знак"/>
    <w:basedOn w:val="a0"/>
    <w:link w:val="ab"/>
    <w:locked/>
    <w:rsid w:val="0066703D"/>
    <w:rPr>
      <w:rFonts w:eastAsia="Calibri"/>
      <w:sz w:val="26"/>
      <w:lang w:val="ru-RU" w:eastAsia="ru-RU" w:bidi="ar-SA"/>
    </w:rPr>
  </w:style>
  <w:style w:type="paragraph" w:styleId="a7">
    <w:name w:val="caption"/>
    <w:basedOn w:val="a"/>
    <w:next w:val="a"/>
    <w:qFormat/>
    <w:rsid w:val="0066703D"/>
    <w:rPr>
      <w:b/>
      <w:bCs/>
      <w:sz w:val="20"/>
    </w:rPr>
  </w:style>
  <w:style w:type="paragraph" w:styleId="ad">
    <w:name w:val="Balloon Text"/>
    <w:basedOn w:val="a"/>
    <w:link w:val="ae"/>
    <w:semiHidden/>
    <w:rsid w:val="0066703D"/>
    <w:rPr>
      <w:rFonts w:ascii="Tahoma" w:hAnsi="Tahoma" w:cs="Tahoma"/>
      <w:sz w:val="16"/>
      <w:szCs w:val="16"/>
    </w:rPr>
  </w:style>
  <w:style w:type="character" w:customStyle="1" w:styleId="longtext">
    <w:name w:val="long_text"/>
    <w:rsid w:val="0066703D"/>
  </w:style>
  <w:style w:type="character" w:customStyle="1" w:styleId="hps">
    <w:name w:val="hps"/>
    <w:rsid w:val="0066703D"/>
  </w:style>
  <w:style w:type="character" w:customStyle="1" w:styleId="hpsatn">
    <w:name w:val="hps atn"/>
    <w:rsid w:val="0066703D"/>
  </w:style>
  <w:style w:type="character" w:customStyle="1" w:styleId="hpsatn1">
    <w:name w:val="hps atn1"/>
    <w:basedOn w:val="a0"/>
    <w:rsid w:val="0066703D"/>
    <w:rPr>
      <w:rFonts w:cs="Times New Roman"/>
    </w:rPr>
  </w:style>
  <w:style w:type="paragraph" w:customStyle="1" w:styleId="MTDisplayEquation">
    <w:name w:val="MTDisplayEquation"/>
    <w:basedOn w:val="a"/>
    <w:next w:val="a"/>
    <w:rsid w:val="00860DB7"/>
    <w:pPr>
      <w:tabs>
        <w:tab w:val="center" w:pos="4680"/>
        <w:tab w:val="right" w:pos="9360"/>
      </w:tabs>
      <w:ind w:firstLine="0"/>
    </w:pPr>
  </w:style>
  <w:style w:type="character" w:customStyle="1" w:styleId="MTEquationSection">
    <w:name w:val="MTEquationSection"/>
    <w:basedOn w:val="a0"/>
    <w:rsid w:val="00860DB7"/>
    <w:rPr>
      <w:b/>
      <w:vanish/>
      <w:color w:val="FF0000"/>
      <w:sz w:val="32"/>
      <w:szCs w:val="32"/>
    </w:rPr>
  </w:style>
  <w:style w:type="character" w:styleId="af">
    <w:name w:val="Hyperlink"/>
    <w:aliases w:val="Оглавление"/>
    <w:basedOn w:val="a0"/>
    <w:uiPriority w:val="99"/>
    <w:rsid w:val="00216C68"/>
    <w:rPr>
      <w:color w:val="0000FF"/>
      <w:u w:val="single"/>
    </w:rPr>
  </w:style>
  <w:style w:type="table" w:styleId="af0">
    <w:name w:val="Table Grid"/>
    <w:basedOn w:val="a1"/>
    <w:rsid w:val="004B2FE1"/>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E85EF9"/>
    <w:pPr>
      <w:tabs>
        <w:tab w:val="right" w:leader="dot" w:pos="9072"/>
      </w:tabs>
      <w:spacing w:before="480" w:after="240" w:line="240" w:lineRule="auto"/>
      <w:ind w:right="567" w:firstLine="0"/>
      <w:jc w:val="left"/>
    </w:pPr>
    <w:rPr>
      <w:b/>
      <w:caps/>
      <w:sz w:val="22"/>
      <w:szCs w:val="24"/>
    </w:rPr>
  </w:style>
  <w:style w:type="paragraph" w:styleId="21">
    <w:name w:val="toc 2"/>
    <w:basedOn w:val="a"/>
    <w:next w:val="a"/>
    <w:link w:val="22"/>
    <w:uiPriority w:val="39"/>
    <w:rsid w:val="00E85EF9"/>
    <w:pPr>
      <w:spacing w:before="120" w:after="120" w:line="240" w:lineRule="auto"/>
      <w:ind w:left="284" w:right="567" w:firstLine="0"/>
      <w:jc w:val="left"/>
    </w:pPr>
    <w:rPr>
      <w:rFonts w:eastAsia="Times New Roman"/>
      <w:smallCaps/>
      <w:sz w:val="24"/>
    </w:rPr>
  </w:style>
  <w:style w:type="paragraph" w:styleId="31">
    <w:name w:val="toc 3"/>
    <w:basedOn w:val="a"/>
    <w:next w:val="a"/>
    <w:link w:val="32"/>
    <w:autoRedefine/>
    <w:uiPriority w:val="39"/>
    <w:qFormat/>
    <w:rsid w:val="00E85EF9"/>
    <w:pPr>
      <w:spacing w:line="240" w:lineRule="auto"/>
      <w:ind w:left="567" w:right="567" w:firstLine="0"/>
      <w:jc w:val="left"/>
    </w:pPr>
    <w:rPr>
      <w:rFonts w:eastAsia="Times New Roman"/>
      <w:i/>
      <w:sz w:val="20"/>
    </w:rPr>
  </w:style>
  <w:style w:type="character" w:customStyle="1" w:styleId="32">
    <w:name w:val="Оглавление 3 Знак"/>
    <w:link w:val="31"/>
    <w:uiPriority w:val="39"/>
    <w:locked/>
    <w:rsid w:val="00E85EF9"/>
    <w:rPr>
      <w:i/>
      <w:lang w:val="ru-RU" w:eastAsia="ru-RU" w:bidi="ar-SA"/>
    </w:rPr>
  </w:style>
  <w:style w:type="character" w:customStyle="1" w:styleId="22">
    <w:name w:val="Оглавление 2 Знак"/>
    <w:link w:val="21"/>
    <w:uiPriority w:val="39"/>
    <w:locked/>
    <w:rsid w:val="00E85EF9"/>
    <w:rPr>
      <w:smallCaps/>
      <w:sz w:val="24"/>
      <w:lang w:val="ru-RU" w:eastAsia="ru-RU" w:bidi="ar-SA"/>
    </w:rPr>
  </w:style>
  <w:style w:type="paragraph" w:customStyle="1" w:styleId="A10">
    <w:name w:val="A_раздел 1"/>
    <w:basedOn w:val="1"/>
    <w:rsid w:val="00E85EF9"/>
    <w:pPr>
      <w:pageBreakBefore/>
      <w:spacing w:before="360" w:after="360"/>
    </w:pPr>
    <w:rPr>
      <w:bCs w:val="0"/>
      <w:kern w:val="28"/>
    </w:rPr>
  </w:style>
  <w:style w:type="character" w:customStyle="1" w:styleId="30">
    <w:name w:val="Заголовок 3 Знак"/>
    <w:basedOn w:val="a0"/>
    <w:link w:val="3"/>
    <w:rsid w:val="009077A1"/>
    <w:rPr>
      <w:i/>
      <w:sz w:val="28"/>
    </w:rPr>
  </w:style>
  <w:style w:type="character" w:customStyle="1" w:styleId="20">
    <w:name w:val="Заголовок 2 Знак"/>
    <w:basedOn w:val="a0"/>
    <w:link w:val="2"/>
    <w:rsid w:val="00D52D73"/>
    <w:rPr>
      <w:rFonts w:ascii="Arial" w:eastAsia="Calibri" w:hAnsi="Arial" w:cs="Arial"/>
      <w:b/>
      <w:bCs/>
      <w:iCs/>
      <w:sz w:val="28"/>
      <w:szCs w:val="28"/>
    </w:rPr>
  </w:style>
  <w:style w:type="paragraph" w:styleId="af1">
    <w:name w:val="List Paragraph"/>
    <w:basedOn w:val="a"/>
    <w:uiPriority w:val="34"/>
    <w:qFormat/>
    <w:rsid w:val="009077A1"/>
    <w:pPr>
      <w:ind w:left="708" w:firstLine="0"/>
      <w:jc w:val="left"/>
    </w:pPr>
    <w:rPr>
      <w:rFonts w:eastAsia="Times New Roman"/>
      <w:szCs w:val="24"/>
    </w:rPr>
  </w:style>
  <w:style w:type="paragraph" w:customStyle="1" w:styleId="af2">
    <w:name w:val="Название рис_таб"/>
    <w:basedOn w:val="ConsPlusNormal"/>
    <w:link w:val="af3"/>
    <w:qFormat/>
    <w:rsid w:val="00F935C4"/>
    <w:pPr>
      <w:keepNext/>
      <w:spacing w:after="120"/>
      <w:ind w:firstLine="0"/>
      <w:jc w:val="center"/>
    </w:pPr>
    <w:rPr>
      <w:rFonts w:ascii="Times New Roman" w:hAnsi="Times New Roman" w:cs="Times New Roman"/>
      <w:b/>
      <w:sz w:val="24"/>
      <w:szCs w:val="24"/>
    </w:rPr>
  </w:style>
  <w:style w:type="character" w:customStyle="1" w:styleId="af3">
    <w:name w:val="Название рис_таб Знак"/>
    <w:basedOn w:val="a0"/>
    <w:link w:val="af2"/>
    <w:rsid w:val="00F935C4"/>
    <w:rPr>
      <w:rFonts w:eastAsia="Calibri"/>
      <w:b/>
      <w:sz w:val="24"/>
      <w:szCs w:val="24"/>
    </w:rPr>
  </w:style>
  <w:style w:type="paragraph" w:styleId="af4">
    <w:name w:val="Subtitle"/>
    <w:aliases w:val="Абракадабра"/>
    <w:next w:val="a"/>
    <w:link w:val="af5"/>
    <w:autoRedefine/>
    <w:qFormat/>
    <w:rsid w:val="00161D56"/>
    <w:pPr>
      <w:numPr>
        <w:ilvl w:val="1"/>
      </w:numPr>
      <w:jc w:val="center"/>
    </w:pPr>
    <w:rPr>
      <w:iCs/>
      <w:sz w:val="22"/>
      <w:szCs w:val="24"/>
    </w:rPr>
  </w:style>
  <w:style w:type="character" w:customStyle="1" w:styleId="af5">
    <w:name w:val="Подзаголовок Знак"/>
    <w:aliases w:val="Абракадабра Знак"/>
    <w:basedOn w:val="a0"/>
    <w:link w:val="af4"/>
    <w:rsid w:val="00161D56"/>
    <w:rPr>
      <w:iCs/>
      <w:sz w:val="22"/>
      <w:szCs w:val="24"/>
    </w:rPr>
  </w:style>
  <w:style w:type="paragraph" w:styleId="af6">
    <w:name w:val="Normal (Web)"/>
    <w:basedOn w:val="a"/>
    <w:uiPriority w:val="99"/>
    <w:unhideWhenUsed/>
    <w:rsid w:val="008E2556"/>
    <w:pPr>
      <w:spacing w:before="100" w:beforeAutospacing="1" w:after="100" w:afterAutospacing="1" w:line="240" w:lineRule="auto"/>
      <w:ind w:firstLine="0"/>
      <w:jc w:val="left"/>
    </w:pPr>
    <w:rPr>
      <w:rFonts w:eastAsia="Times New Roman"/>
      <w:sz w:val="24"/>
      <w:szCs w:val="24"/>
    </w:rPr>
  </w:style>
  <w:style w:type="character" w:styleId="af7">
    <w:name w:val="Strong"/>
    <w:qFormat/>
    <w:rsid w:val="00CB0384"/>
    <w:rPr>
      <w:rFonts w:cs="Times New Roman"/>
      <w:b/>
      <w:bCs/>
    </w:rPr>
  </w:style>
  <w:style w:type="paragraph" w:customStyle="1" w:styleId="12">
    <w:name w:val="1"/>
    <w:basedOn w:val="a"/>
    <w:rsid w:val="005C651C"/>
    <w:pPr>
      <w:spacing w:before="100" w:beforeAutospacing="1" w:after="100" w:afterAutospacing="1" w:line="240" w:lineRule="auto"/>
      <w:ind w:firstLine="0"/>
      <w:jc w:val="left"/>
    </w:pPr>
    <w:rPr>
      <w:rFonts w:eastAsia="Times New Roman"/>
      <w:sz w:val="24"/>
      <w:szCs w:val="24"/>
    </w:rPr>
  </w:style>
  <w:style w:type="paragraph" w:customStyle="1" w:styleId="a21">
    <w:name w:val="a2"/>
    <w:basedOn w:val="a"/>
    <w:rsid w:val="005C651C"/>
    <w:pPr>
      <w:spacing w:before="100" w:beforeAutospacing="1" w:after="100" w:afterAutospacing="1" w:line="240" w:lineRule="auto"/>
      <w:ind w:firstLine="0"/>
      <w:jc w:val="left"/>
    </w:pPr>
    <w:rPr>
      <w:rFonts w:eastAsia="Times New Roman"/>
      <w:sz w:val="24"/>
      <w:szCs w:val="24"/>
    </w:rPr>
  </w:style>
  <w:style w:type="character" w:styleId="af8">
    <w:name w:val="Emphasis"/>
    <w:basedOn w:val="a0"/>
    <w:uiPriority w:val="20"/>
    <w:qFormat/>
    <w:rsid w:val="005C651C"/>
    <w:rPr>
      <w:i/>
      <w:iCs/>
    </w:rPr>
  </w:style>
  <w:style w:type="character" w:styleId="af9">
    <w:name w:val="Intense Emphasis"/>
    <w:aliases w:val="Обббыыычный"/>
    <w:uiPriority w:val="21"/>
    <w:qFormat/>
    <w:rsid w:val="00F61206"/>
    <w:rPr>
      <w:rFonts w:ascii="Times New Roman" w:hAnsi="Times New Roman"/>
      <w:bCs/>
      <w:iCs/>
      <w:color w:val="000000"/>
      <w:sz w:val="26"/>
    </w:rPr>
  </w:style>
  <w:style w:type="character" w:styleId="afa">
    <w:name w:val="FollowedHyperlink"/>
    <w:basedOn w:val="a0"/>
    <w:rsid w:val="00E11729"/>
    <w:rPr>
      <w:color w:val="800080"/>
      <w:u w:val="single"/>
    </w:rPr>
  </w:style>
  <w:style w:type="character" w:customStyle="1" w:styleId="10">
    <w:name w:val="Заголовок 1 Знак"/>
    <w:basedOn w:val="a0"/>
    <w:link w:val="1"/>
    <w:rsid w:val="004C58CE"/>
    <w:rPr>
      <w:rFonts w:eastAsia="Calibri"/>
      <w:b/>
      <w:bCs/>
      <w:kern w:val="32"/>
      <w:sz w:val="30"/>
      <w:szCs w:val="30"/>
    </w:rPr>
  </w:style>
  <w:style w:type="character" w:customStyle="1" w:styleId="shorttext">
    <w:name w:val="short_text"/>
    <w:basedOn w:val="a0"/>
    <w:rsid w:val="00E27B55"/>
  </w:style>
  <w:style w:type="paragraph" w:styleId="afb">
    <w:name w:val="annotation subject"/>
    <w:basedOn w:val="a9"/>
    <w:next w:val="a9"/>
    <w:link w:val="afc"/>
    <w:rsid w:val="00C11E82"/>
    <w:pPr>
      <w:spacing w:line="240" w:lineRule="auto"/>
    </w:pPr>
    <w:rPr>
      <w:b/>
      <w:bCs/>
    </w:rPr>
  </w:style>
  <w:style w:type="character" w:customStyle="1" w:styleId="afc">
    <w:name w:val="Тема примечания Знак"/>
    <w:basedOn w:val="aa"/>
    <w:link w:val="afb"/>
    <w:rsid w:val="00C11E82"/>
    <w:rPr>
      <w:rFonts w:eastAsia="Calibri"/>
      <w:b/>
      <w:bCs/>
      <w:lang w:val="ru-RU" w:eastAsia="ru-RU" w:bidi="ar-SA"/>
    </w:rPr>
  </w:style>
  <w:style w:type="paragraph" w:styleId="afd">
    <w:name w:val="Revision"/>
    <w:hidden/>
    <w:uiPriority w:val="99"/>
    <w:semiHidden/>
    <w:rsid w:val="00CC2A7A"/>
    <w:rPr>
      <w:rFonts w:eastAsia="Calibri"/>
      <w:sz w:val="26"/>
    </w:rPr>
  </w:style>
  <w:style w:type="character" w:customStyle="1" w:styleId="ae">
    <w:name w:val="Текст выноски Знак"/>
    <w:basedOn w:val="a0"/>
    <w:link w:val="ad"/>
    <w:semiHidden/>
    <w:rsid w:val="0068627B"/>
    <w:rPr>
      <w:rFonts w:ascii="Tahoma" w:eastAsia="Calibri" w:hAnsi="Tahoma" w:cs="Tahoma"/>
      <w:sz w:val="16"/>
      <w:szCs w:val="16"/>
    </w:rPr>
  </w:style>
  <w:style w:type="paragraph" w:styleId="23">
    <w:name w:val="Quote"/>
    <w:basedOn w:val="a"/>
    <w:next w:val="a"/>
    <w:link w:val="24"/>
    <w:uiPriority w:val="29"/>
    <w:qFormat/>
    <w:rsid w:val="007828E0"/>
    <w:pPr>
      <w:spacing w:line="240" w:lineRule="auto"/>
      <w:ind w:firstLine="0"/>
      <w:jc w:val="center"/>
    </w:pPr>
    <w:rPr>
      <w:iCs/>
      <w:color w:val="000000" w:themeColor="text1"/>
      <w:sz w:val="22"/>
    </w:rPr>
  </w:style>
  <w:style w:type="character" w:customStyle="1" w:styleId="24">
    <w:name w:val="Цитата 2 Знак"/>
    <w:basedOn w:val="a0"/>
    <w:link w:val="23"/>
    <w:uiPriority w:val="29"/>
    <w:rsid w:val="007828E0"/>
    <w:rPr>
      <w:rFonts w:eastAsia="Calibri"/>
      <w:iCs/>
      <w:color w:val="000000" w:themeColor="text1"/>
      <w:sz w:val="22"/>
    </w:rPr>
  </w:style>
  <w:style w:type="paragraph" w:styleId="afe">
    <w:name w:val="Title"/>
    <w:basedOn w:val="a"/>
    <w:next w:val="a"/>
    <w:link w:val="aff"/>
    <w:qFormat/>
    <w:rsid w:val="007828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828E0"/>
    <w:rPr>
      <w:rFonts w:asciiTheme="majorHAnsi" w:eastAsiaTheme="majorEastAsia" w:hAnsiTheme="majorHAnsi" w:cstheme="majorBidi"/>
      <w:color w:val="17365D" w:themeColor="text2" w:themeShade="BF"/>
      <w:spacing w:val="5"/>
      <w:kern w:val="28"/>
      <w:sz w:val="52"/>
      <w:szCs w:val="52"/>
    </w:rPr>
  </w:style>
  <w:style w:type="paragraph" w:styleId="aff0">
    <w:name w:val="header"/>
    <w:basedOn w:val="a"/>
    <w:link w:val="aff1"/>
    <w:rsid w:val="005B4F7F"/>
    <w:pPr>
      <w:tabs>
        <w:tab w:val="center" w:pos="4677"/>
        <w:tab w:val="right" w:pos="9355"/>
      </w:tabs>
      <w:spacing w:line="240" w:lineRule="auto"/>
    </w:pPr>
  </w:style>
  <w:style w:type="character" w:customStyle="1" w:styleId="aff1">
    <w:name w:val="Верхний колонтитул Знак"/>
    <w:basedOn w:val="a0"/>
    <w:link w:val="aff0"/>
    <w:rsid w:val="005B4F7F"/>
    <w:rPr>
      <w:rFonts w:eastAsia="Calibri"/>
      <w:sz w:val="26"/>
    </w:rPr>
  </w:style>
  <w:style w:type="character" w:customStyle="1" w:styleId="hpsatn0">
    <w:name w:val="hps &#10;atn"/>
    <w:basedOn w:val="a0"/>
    <w:rsid w:val="00044321"/>
  </w:style>
  <w:style w:type="numbering" w:customStyle="1" w:styleId="13">
    <w:name w:val="Нет списка1"/>
    <w:next w:val="a2"/>
    <w:uiPriority w:val="99"/>
    <w:semiHidden/>
    <w:unhideWhenUsed/>
    <w:rsid w:val="002064E9"/>
  </w:style>
  <w:style w:type="character" w:customStyle="1" w:styleId="14">
    <w:name w:val="Текст выноски Знак1"/>
    <w:basedOn w:val="a0"/>
    <w:uiPriority w:val="99"/>
    <w:semiHidden/>
    <w:rsid w:val="002064E9"/>
    <w:rPr>
      <w:rFonts w:ascii="Tahoma" w:eastAsia="Calibri" w:hAnsi="Tahoma" w:cs="Tahoma"/>
      <w:sz w:val="16"/>
      <w:szCs w:val="16"/>
      <w:lang w:eastAsia="ru-RU"/>
    </w:rPr>
  </w:style>
  <w:style w:type="table" w:customStyle="1" w:styleId="15">
    <w:name w:val="Сетка таблицы1"/>
    <w:basedOn w:val="a1"/>
    <w:next w:val="af0"/>
    <w:rsid w:val="002064E9"/>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Ordinary"/>
    <w:qFormat/>
    <w:rsid w:val="00F706E4"/>
    <w:pPr>
      <w:spacing w:line="360" w:lineRule="auto"/>
      <w:ind w:firstLine="720"/>
      <w:jc w:val="both"/>
    </w:pPr>
    <w:rPr>
      <w:rFonts w:eastAsia="Calibri"/>
      <w:sz w:val="26"/>
    </w:rPr>
  </w:style>
  <w:style w:type="paragraph" w:styleId="1">
    <w:name w:val="heading 1"/>
    <w:basedOn w:val="a"/>
    <w:next w:val="a"/>
    <w:link w:val="10"/>
    <w:qFormat/>
    <w:rsid w:val="004C58CE"/>
    <w:pPr>
      <w:keepNext/>
      <w:spacing w:before="240" w:after="240" w:line="240" w:lineRule="auto"/>
      <w:ind w:firstLine="0"/>
      <w:outlineLvl w:val="0"/>
    </w:pPr>
    <w:rPr>
      <w:b/>
      <w:bCs/>
      <w:kern w:val="32"/>
      <w:sz w:val="30"/>
      <w:szCs w:val="30"/>
    </w:rPr>
  </w:style>
  <w:style w:type="paragraph" w:styleId="2">
    <w:name w:val="heading 2"/>
    <w:basedOn w:val="a"/>
    <w:next w:val="a"/>
    <w:link w:val="20"/>
    <w:qFormat/>
    <w:rsid w:val="00D52D73"/>
    <w:pPr>
      <w:keepNext/>
      <w:spacing w:before="120" w:after="120"/>
      <w:ind w:firstLine="0"/>
      <w:outlineLvl w:val="1"/>
    </w:pPr>
    <w:rPr>
      <w:rFonts w:ascii="Arial" w:hAnsi="Arial" w:cs="Arial"/>
      <w:b/>
      <w:bCs/>
      <w:iCs/>
      <w:sz w:val="28"/>
      <w:szCs w:val="28"/>
    </w:rPr>
  </w:style>
  <w:style w:type="paragraph" w:styleId="3">
    <w:name w:val="heading 3"/>
    <w:basedOn w:val="a"/>
    <w:next w:val="a"/>
    <w:link w:val="30"/>
    <w:qFormat/>
    <w:rsid w:val="009077A1"/>
    <w:pPr>
      <w:keepNext/>
      <w:spacing w:before="240" w:after="120"/>
      <w:ind w:firstLine="709"/>
      <w:outlineLvl w:val="2"/>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2 Знак,Текст сноски Знак1 Знак Знак"/>
    <w:basedOn w:val="a"/>
    <w:link w:val="a4"/>
    <w:semiHidden/>
    <w:rsid w:val="0066703D"/>
    <w:pPr>
      <w:ind w:firstLine="0"/>
    </w:pPr>
    <w:rPr>
      <w:sz w:val="20"/>
    </w:rPr>
  </w:style>
  <w:style w:type="character" w:customStyle="1" w:styleId="a4">
    <w:name w:val="Текст сноски Знак"/>
    <w:aliases w:val="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basedOn w:val="a0"/>
    <w:link w:val="a3"/>
    <w:semiHidden/>
    <w:locked/>
    <w:rsid w:val="0066703D"/>
    <w:rPr>
      <w:rFonts w:eastAsia="Calibri"/>
      <w:lang w:val="ru-RU" w:eastAsia="ru-RU" w:bidi="ar-SA"/>
    </w:rPr>
  </w:style>
  <w:style w:type="character" w:styleId="a5">
    <w:name w:val="footnote reference"/>
    <w:aliases w:val="Знак сноски-FN,Ciae niinee-FN,SUPERS,Знак сноски 1,Ciae niinee 1,Referencia nota al pie,Ссылка на сноску 45,Appel note de bas de page,fr,Used by Word for Help footnote symbols"/>
    <w:basedOn w:val="a0"/>
    <w:semiHidden/>
    <w:rsid w:val="0066703D"/>
    <w:rPr>
      <w:rFonts w:cs="Times New Roman"/>
      <w:vertAlign w:val="superscript"/>
    </w:rPr>
  </w:style>
  <w:style w:type="paragraph" w:customStyle="1" w:styleId="A20">
    <w:name w:val="A_подраздел 2"/>
    <w:basedOn w:val="2"/>
    <w:rsid w:val="0066703D"/>
    <w:pPr>
      <w:spacing w:after="240" w:line="240" w:lineRule="auto"/>
    </w:pPr>
    <w:rPr>
      <w:rFonts w:ascii="Times New Roman" w:hAnsi="Times New Roman" w:cs="Times New Roman"/>
      <w:bCs w:val="0"/>
      <w:i/>
      <w:iCs w:val="0"/>
    </w:rPr>
  </w:style>
  <w:style w:type="paragraph" w:customStyle="1" w:styleId="A30">
    <w:name w:val="A_подраздел 3"/>
    <w:basedOn w:val="a"/>
    <w:rsid w:val="0066703D"/>
    <w:pPr>
      <w:keepNext/>
      <w:spacing w:before="360" w:after="120"/>
      <w:ind w:firstLine="709"/>
      <w:outlineLvl w:val="2"/>
    </w:pPr>
    <w:rPr>
      <w:i/>
      <w:sz w:val="28"/>
      <w:szCs w:val="28"/>
    </w:rPr>
  </w:style>
  <w:style w:type="paragraph" w:customStyle="1" w:styleId="ConsPlusNormal">
    <w:name w:val="ConsPlusNormal"/>
    <w:rsid w:val="0066703D"/>
    <w:pPr>
      <w:widowControl w:val="0"/>
      <w:autoSpaceDE w:val="0"/>
      <w:autoSpaceDN w:val="0"/>
      <w:adjustRightInd w:val="0"/>
      <w:ind w:firstLine="720"/>
    </w:pPr>
    <w:rPr>
      <w:rFonts w:ascii="Arial" w:eastAsia="Calibri" w:hAnsi="Arial" w:cs="Arial"/>
    </w:rPr>
  </w:style>
  <w:style w:type="paragraph" w:customStyle="1" w:styleId="a6">
    <w:name w:val="Номер РИС_ТАБ"/>
    <w:basedOn w:val="a"/>
    <w:next w:val="a7"/>
    <w:rsid w:val="0066703D"/>
    <w:pPr>
      <w:keepNext/>
      <w:ind w:firstLine="0"/>
      <w:jc w:val="left"/>
    </w:pPr>
    <w:rPr>
      <w:i/>
      <w:smallCaps/>
    </w:rPr>
  </w:style>
  <w:style w:type="character" w:styleId="a8">
    <w:name w:val="annotation reference"/>
    <w:basedOn w:val="a0"/>
    <w:semiHidden/>
    <w:rsid w:val="0066703D"/>
    <w:rPr>
      <w:rFonts w:cs="Times New Roman"/>
      <w:sz w:val="16"/>
      <w:szCs w:val="16"/>
    </w:rPr>
  </w:style>
  <w:style w:type="paragraph" w:styleId="a9">
    <w:name w:val="annotation text"/>
    <w:basedOn w:val="a"/>
    <w:link w:val="aa"/>
    <w:semiHidden/>
    <w:rsid w:val="0066703D"/>
    <w:rPr>
      <w:sz w:val="20"/>
    </w:rPr>
  </w:style>
  <w:style w:type="character" w:customStyle="1" w:styleId="aa">
    <w:name w:val="Текст примечания Знак"/>
    <w:basedOn w:val="a0"/>
    <w:link w:val="a9"/>
    <w:semiHidden/>
    <w:locked/>
    <w:rsid w:val="0066703D"/>
    <w:rPr>
      <w:rFonts w:eastAsia="Calibri"/>
      <w:lang w:val="ru-RU" w:eastAsia="ru-RU" w:bidi="ar-SA"/>
    </w:rPr>
  </w:style>
  <w:style w:type="paragraph" w:styleId="ab">
    <w:name w:val="footer"/>
    <w:basedOn w:val="a"/>
    <w:link w:val="ac"/>
    <w:rsid w:val="0066703D"/>
    <w:pPr>
      <w:tabs>
        <w:tab w:val="center" w:pos="4677"/>
        <w:tab w:val="right" w:pos="9355"/>
      </w:tabs>
    </w:pPr>
  </w:style>
  <w:style w:type="character" w:customStyle="1" w:styleId="ac">
    <w:name w:val="Нижний колонтитул Знак"/>
    <w:basedOn w:val="a0"/>
    <w:link w:val="ab"/>
    <w:locked/>
    <w:rsid w:val="0066703D"/>
    <w:rPr>
      <w:rFonts w:eastAsia="Calibri"/>
      <w:sz w:val="26"/>
      <w:lang w:val="ru-RU" w:eastAsia="ru-RU" w:bidi="ar-SA"/>
    </w:rPr>
  </w:style>
  <w:style w:type="paragraph" w:styleId="a7">
    <w:name w:val="caption"/>
    <w:basedOn w:val="a"/>
    <w:next w:val="a"/>
    <w:qFormat/>
    <w:rsid w:val="0066703D"/>
    <w:rPr>
      <w:b/>
      <w:bCs/>
      <w:sz w:val="20"/>
    </w:rPr>
  </w:style>
  <w:style w:type="paragraph" w:styleId="ad">
    <w:name w:val="Balloon Text"/>
    <w:basedOn w:val="a"/>
    <w:link w:val="ae"/>
    <w:semiHidden/>
    <w:rsid w:val="0066703D"/>
    <w:rPr>
      <w:rFonts w:ascii="Tahoma" w:hAnsi="Tahoma" w:cs="Tahoma"/>
      <w:sz w:val="16"/>
      <w:szCs w:val="16"/>
    </w:rPr>
  </w:style>
  <w:style w:type="character" w:customStyle="1" w:styleId="longtext">
    <w:name w:val="long_text"/>
    <w:rsid w:val="0066703D"/>
  </w:style>
  <w:style w:type="character" w:customStyle="1" w:styleId="hps">
    <w:name w:val="hps"/>
    <w:rsid w:val="0066703D"/>
  </w:style>
  <w:style w:type="character" w:customStyle="1" w:styleId="hpsatn">
    <w:name w:val="hps atn"/>
    <w:rsid w:val="0066703D"/>
  </w:style>
  <w:style w:type="character" w:customStyle="1" w:styleId="hpsatn1">
    <w:name w:val="hps atn1"/>
    <w:basedOn w:val="a0"/>
    <w:rsid w:val="0066703D"/>
    <w:rPr>
      <w:rFonts w:cs="Times New Roman"/>
    </w:rPr>
  </w:style>
  <w:style w:type="paragraph" w:customStyle="1" w:styleId="MTDisplayEquation">
    <w:name w:val="MTDisplayEquation"/>
    <w:basedOn w:val="a"/>
    <w:next w:val="a"/>
    <w:rsid w:val="00860DB7"/>
    <w:pPr>
      <w:tabs>
        <w:tab w:val="center" w:pos="4680"/>
        <w:tab w:val="right" w:pos="9360"/>
      </w:tabs>
      <w:ind w:firstLine="0"/>
    </w:pPr>
  </w:style>
  <w:style w:type="character" w:customStyle="1" w:styleId="MTEquationSection">
    <w:name w:val="MTEquationSection"/>
    <w:basedOn w:val="a0"/>
    <w:rsid w:val="00860DB7"/>
    <w:rPr>
      <w:b/>
      <w:vanish/>
      <w:color w:val="FF0000"/>
      <w:sz w:val="32"/>
      <w:szCs w:val="32"/>
    </w:rPr>
  </w:style>
  <w:style w:type="character" w:styleId="af">
    <w:name w:val="Hyperlink"/>
    <w:aliases w:val="Оглавление"/>
    <w:basedOn w:val="a0"/>
    <w:uiPriority w:val="99"/>
    <w:rsid w:val="00216C68"/>
    <w:rPr>
      <w:color w:val="0000FF"/>
      <w:u w:val="single"/>
    </w:rPr>
  </w:style>
  <w:style w:type="table" w:styleId="af0">
    <w:name w:val="Table Grid"/>
    <w:basedOn w:val="a1"/>
    <w:rsid w:val="004B2FE1"/>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E85EF9"/>
    <w:pPr>
      <w:tabs>
        <w:tab w:val="right" w:leader="dot" w:pos="9072"/>
      </w:tabs>
      <w:spacing w:before="480" w:after="240" w:line="240" w:lineRule="auto"/>
      <w:ind w:right="567" w:firstLine="0"/>
      <w:jc w:val="left"/>
    </w:pPr>
    <w:rPr>
      <w:b/>
      <w:caps/>
      <w:sz w:val="22"/>
      <w:szCs w:val="24"/>
    </w:rPr>
  </w:style>
  <w:style w:type="paragraph" w:styleId="21">
    <w:name w:val="toc 2"/>
    <w:basedOn w:val="a"/>
    <w:next w:val="a"/>
    <w:link w:val="22"/>
    <w:uiPriority w:val="39"/>
    <w:rsid w:val="00E85EF9"/>
    <w:pPr>
      <w:spacing w:before="120" w:after="120" w:line="240" w:lineRule="auto"/>
      <w:ind w:left="284" w:right="567" w:firstLine="0"/>
      <w:jc w:val="left"/>
    </w:pPr>
    <w:rPr>
      <w:rFonts w:eastAsia="Times New Roman"/>
      <w:smallCaps/>
      <w:sz w:val="24"/>
    </w:rPr>
  </w:style>
  <w:style w:type="paragraph" w:styleId="31">
    <w:name w:val="toc 3"/>
    <w:basedOn w:val="a"/>
    <w:next w:val="a"/>
    <w:link w:val="32"/>
    <w:autoRedefine/>
    <w:uiPriority w:val="39"/>
    <w:qFormat/>
    <w:rsid w:val="00E85EF9"/>
    <w:pPr>
      <w:spacing w:line="240" w:lineRule="auto"/>
      <w:ind w:left="567" w:right="567" w:firstLine="0"/>
      <w:jc w:val="left"/>
    </w:pPr>
    <w:rPr>
      <w:rFonts w:eastAsia="Times New Roman"/>
      <w:i/>
      <w:sz w:val="20"/>
    </w:rPr>
  </w:style>
  <w:style w:type="character" w:customStyle="1" w:styleId="32">
    <w:name w:val="Оглавление 3 Знак"/>
    <w:link w:val="31"/>
    <w:uiPriority w:val="39"/>
    <w:locked/>
    <w:rsid w:val="00E85EF9"/>
    <w:rPr>
      <w:i/>
      <w:lang w:val="ru-RU" w:eastAsia="ru-RU" w:bidi="ar-SA"/>
    </w:rPr>
  </w:style>
  <w:style w:type="character" w:customStyle="1" w:styleId="22">
    <w:name w:val="Оглавление 2 Знак"/>
    <w:link w:val="21"/>
    <w:uiPriority w:val="39"/>
    <w:locked/>
    <w:rsid w:val="00E85EF9"/>
    <w:rPr>
      <w:smallCaps/>
      <w:sz w:val="24"/>
      <w:lang w:val="ru-RU" w:eastAsia="ru-RU" w:bidi="ar-SA"/>
    </w:rPr>
  </w:style>
  <w:style w:type="paragraph" w:customStyle="1" w:styleId="A10">
    <w:name w:val="A_раздел 1"/>
    <w:basedOn w:val="1"/>
    <w:rsid w:val="00E85EF9"/>
    <w:pPr>
      <w:pageBreakBefore/>
      <w:spacing w:before="360" w:after="360"/>
    </w:pPr>
    <w:rPr>
      <w:bCs w:val="0"/>
      <w:kern w:val="28"/>
    </w:rPr>
  </w:style>
  <w:style w:type="character" w:customStyle="1" w:styleId="30">
    <w:name w:val="Заголовок 3 Знак"/>
    <w:basedOn w:val="a0"/>
    <w:link w:val="3"/>
    <w:rsid w:val="009077A1"/>
    <w:rPr>
      <w:i/>
      <w:sz w:val="28"/>
    </w:rPr>
  </w:style>
  <w:style w:type="character" w:customStyle="1" w:styleId="20">
    <w:name w:val="Заголовок 2 Знак"/>
    <w:basedOn w:val="a0"/>
    <w:link w:val="2"/>
    <w:rsid w:val="00D52D73"/>
    <w:rPr>
      <w:rFonts w:ascii="Arial" w:eastAsia="Calibri" w:hAnsi="Arial" w:cs="Arial"/>
      <w:b/>
      <w:bCs/>
      <w:iCs/>
      <w:sz w:val="28"/>
      <w:szCs w:val="28"/>
    </w:rPr>
  </w:style>
  <w:style w:type="paragraph" w:styleId="af1">
    <w:name w:val="List Paragraph"/>
    <w:basedOn w:val="a"/>
    <w:uiPriority w:val="34"/>
    <w:qFormat/>
    <w:rsid w:val="009077A1"/>
    <w:pPr>
      <w:ind w:left="708" w:firstLine="0"/>
      <w:jc w:val="left"/>
    </w:pPr>
    <w:rPr>
      <w:rFonts w:eastAsia="Times New Roman"/>
      <w:szCs w:val="24"/>
    </w:rPr>
  </w:style>
  <w:style w:type="paragraph" w:customStyle="1" w:styleId="af2">
    <w:name w:val="Название рис_таб"/>
    <w:basedOn w:val="ConsPlusNormal"/>
    <w:link w:val="af3"/>
    <w:qFormat/>
    <w:rsid w:val="00F935C4"/>
    <w:pPr>
      <w:keepNext/>
      <w:spacing w:after="120"/>
      <w:ind w:firstLine="0"/>
      <w:jc w:val="center"/>
    </w:pPr>
    <w:rPr>
      <w:rFonts w:ascii="Times New Roman" w:hAnsi="Times New Roman" w:cs="Times New Roman"/>
      <w:b/>
      <w:sz w:val="24"/>
      <w:szCs w:val="24"/>
    </w:rPr>
  </w:style>
  <w:style w:type="character" w:customStyle="1" w:styleId="af3">
    <w:name w:val="Название рис_таб Знак"/>
    <w:basedOn w:val="a0"/>
    <w:link w:val="af2"/>
    <w:rsid w:val="00F935C4"/>
    <w:rPr>
      <w:rFonts w:eastAsia="Calibri"/>
      <w:b/>
      <w:sz w:val="24"/>
      <w:szCs w:val="24"/>
    </w:rPr>
  </w:style>
  <w:style w:type="paragraph" w:styleId="af4">
    <w:name w:val="Subtitle"/>
    <w:aliases w:val="Абракадабра"/>
    <w:next w:val="a"/>
    <w:link w:val="af5"/>
    <w:autoRedefine/>
    <w:qFormat/>
    <w:rsid w:val="00161D56"/>
    <w:pPr>
      <w:numPr>
        <w:ilvl w:val="1"/>
      </w:numPr>
      <w:jc w:val="center"/>
    </w:pPr>
    <w:rPr>
      <w:iCs/>
      <w:sz w:val="22"/>
      <w:szCs w:val="24"/>
    </w:rPr>
  </w:style>
  <w:style w:type="character" w:customStyle="1" w:styleId="af5">
    <w:name w:val="Подзаголовок Знак"/>
    <w:aliases w:val="Абракадабра Знак"/>
    <w:basedOn w:val="a0"/>
    <w:link w:val="af4"/>
    <w:rsid w:val="00161D56"/>
    <w:rPr>
      <w:iCs/>
      <w:sz w:val="22"/>
      <w:szCs w:val="24"/>
    </w:rPr>
  </w:style>
  <w:style w:type="paragraph" w:styleId="af6">
    <w:name w:val="Normal (Web)"/>
    <w:basedOn w:val="a"/>
    <w:uiPriority w:val="99"/>
    <w:unhideWhenUsed/>
    <w:rsid w:val="008E2556"/>
    <w:pPr>
      <w:spacing w:before="100" w:beforeAutospacing="1" w:after="100" w:afterAutospacing="1" w:line="240" w:lineRule="auto"/>
      <w:ind w:firstLine="0"/>
      <w:jc w:val="left"/>
    </w:pPr>
    <w:rPr>
      <w:rFonts w:eastAsia="Times New Roman"/>
      <w:sz w:val="24"/>
      <w:szCs w:val="24"/>
    </w:rPr>
  </w:style>
  <w:style w:type="character" w:styleId="af7">
    <w:name w:val="Strong"/>
    <w:qFormat/>
    <w:rsid w:val="00CB0384"/>
    <w:rPr>
      <w:rFonts w:cs="Times New Roman"/>
      <w:b/>
      <w:bCs/>
    </w:rPr>
  </w:style>
  <w:style w:type="paragraph" w:customStyle="1" w:styleId="12">
    <w:name w:val="1"/>
    <w:basedOn w:val="a"/>
    <w:rsid w:val="005C651C"/>
    <w:pPr>
      <w:spacing w:before="100" w:beforeAutospacing="1" w:after="100" w:afterAutospacing="1" w:line="240" w:lineRule="auto"/>
      <w:ind w:firstLine="0"/>
      <w:jc w:val="left"/>
    </w:pPr>
    <w:rPr>
      <w:rFonts w:eastAsia="Times New Roman"/>
      <w:sz w:val="24"/>
      <w:szCs w:val="24"/>
    </w:rPr>
  </w:style>
  <w:style w:type="paragraph" w:customStyle="1" w:styleId="a21">
    <w:name w:val="a2"/>
    <w:basedOn w:val="a"/>
    <w:rsid w:val="005C651C"/>
    <w:pPr>
      <w:spacing w:before="100" w:beforeAutospacing="1" w:after="100" w:afterAutospacing="1" w:line="240" w:lineRule="auto"/>
      <w:ind w:firstLine="0"/>
      <w:jc w:val="left"/>
    </w:pPr>
    <w:rPr>
      <w:rFonts w:eastAsia="Times New Roman"/>
      <w:sz w:val="24"/>
      <w:szCs w:val="24"/>
    </w:rPr>
  </w:style>
  <w:style w:type="character" w:styleId="af8">
    <w:name w:val="Emphasis"/>
    <w:basedOn w:val="a0"/>
    <w:uiPriority w:val="20"/>
    <w:qFormat/>
    <w:rsid w:val="005C651C"/>
    <w:rPr>
      <w:i/>
      <w:iCs/>
    </w:rPr>
  </w:style>
  <w:style w:type="character" w:styleId="af9">
    <w:name w:val="Intense Emphasis"/>
    <w:aliases w:val="Обббыыычный"/>
    <w:uiPriority w:val="21"/>
    <w:qFormat/>
    <w:rsid w:val="00F61206"/>
    <w:rPr>
      <w:rFonts w:ascii="Times New Roman" w:hAnsi="Times New Roman"/>
      <w:bCs/>
      <w:iCs/>
      <w:color w:val="000000"/>
      <w:sz w:val="26"/>
    </w:rPr>
  </w:style>
  <w:style w:type="character" w:styleId="afa">
    <w:name w:val="FollowedHyperlink"/>
    <w:basedOn w:val="a0"/>
    <w:rsid w:val="00E11729"/>
    <w:rPr>
      <w:color w:val="800080"/>
      <w:u w:val="single"/>
    </w:rPr>
  </w:style>
  <w:style w:type="character" w:customStyle="1" w:styleId="10">
    <w:name w:val="Заголовок 1 Знак"/>
    <w:basedOn w:val="a0"/>
    <w:link w:val="1"/>
    <w:rsid w:val="004C58CE"/>
    <w:rPr>
      <w:rFonts w:eastAsia="Calibri"/>
      <w:b/>
      <w:bCs/>
      <w:kern w:val="32"/>
      <w:sz w:val="30"/>
      <w:szCs w:val="30"/>
    </w:rPr>
  </w:style>
  <w:style w:type="character" w:customStyle="1" w:styleId="shorttext">
    <w:name w:val="short_text"/>
    <w:basedOn w:val="a0"/>
    <w:rsid w:val="00E27B55"/>
  </w:style>
  <w:style w:type="paragraph" w:styleId="afb">
    <w:name w:val="annotation subject"/>
    <w:basedOn w:val="a9"/>
    <w:next w:val="a9"/>
    <w:link w:val="afc"/>
    <w:rsid w:val="00C11E82"/>
    <w:pPr>
      <w:spacing w:line="240" w:lineRule="auto"/>
    </w:pPr>
    <w:rPr>
      <w:b/>
      <w:bCs/>
    </w:rPr>
  </w:style>
  <w:style w:type="character" w:customStyle="1" w:styleId="afc">
    <w:name w:val="Тема примечания Знак"/>
    <w:basedOn w:val="aa"/>
    <w:link w:val="afb"/>
    <w:rsid w:val="00C11E82"/>
    <w:rPr>
      <w:rFonts w:eastAsia="Calibri"/>
      <w:b/>
      <w:bCs/>
      <w:lang w:val="ru-RU" w:eastAsia="ru-RU" w:bidi="ar-SA"/>
    </w:rPr>
  </w:style>
  <w:style w:type="paragraph" w:styleId="afd">
    <w:name w:val="Revision"/>
    <w:hidden/>
    <w:uiPriority w:val="99"/>
    <w:semiHidden/>
    <w:rsid w:val="00CC2A7A"/>
    <w:rPr>
      <w:rFonts w:eastAsia="Calibri"/>
      <w:sz w:val="26"/>
    </w:rPr>
  </w:style>
  <w:style w:type="character" w:customStyle="1" w:styleId="ae">
    <w:name w:val="Текст выноски Знак"/>
    <w:basedOn w:val="a0"/>
    <w:link w:val="ad"/>
    <w:semiHidden/>
    <w:rsid w:val="0068627B"/>
    <w:rPr>
      <w:rFonts w:ascii="Tahoma" w:eastAsia="Calibri" w:hAnsi="Tahoma" w:cs="Tahoma"/>
      <w:sz w:val="16"/>
      <w:szCs w:val="16"/>
    </w:rPr>
  </w:style>
  <w:style w:type="paragraph" w:styleId="23">
    <w:name w:val="Quote"/>
    <w:basedOn w:val="a"/>
    <w:next w:val="a"/>
    <w:link w:val="24"/>
    <w:uiPriority w:val="29"/>
    <w:qFormat/>
    <w:rsid w:val="007828E0"/>
    <w:pPr>
      <w:spacing w:line="240" w:lineRule="auto"/>
      <w:ind w:firstLine="0"/>
      <w:jc w:val="center"/>
    </w:pPr>
    <w:rPr>
      <w:iCs/>
      <w:color w:val="000000" w:themeColor="text1"/>
      <w:sz w:val="22"/>
    </w:rPr>
  </w:style>
  <w:style w:type="character" w:customStyle="1" w:styleId="24">
    <w:name w:val="Цитата 2 Знак"/>
    <w:basedOn w:val="a0"/>
    <w:link w:val="23"/>
    <w:uiPriority w:val="29"/>
    <w:rsid w:val="007828E0"/>
    <w:rPr>
      <w:rFonts w:eastAsia="Calibri"/>
      <w:iCs/>
      <w:color w:val="000000" w:themeColor="text1"/>
      <w:sz w:val="22"/>
    </w:rPr>
  </w:style>
  <w:style w:type="paragraph" w:styleId="afe">
    <w:name w:val="Title"/>
    <w:basedOn w:val="a"/>
    <w:next w:val="a"/>
    <w:link w:val="aff"/>
    <w:qFormat/>
    <w:rsid w:val="007828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828E0"/>
    <w:rPr>
      <w:rFonts w:asciiTheme="majorHAnsi" w:eastAsiaTheme="majorEastAsia" w:hAnsiTheme="majorHAnsi" w:cstheme="majorBidi"/>
      <w:color w:val="17365D" w:themeColor="text2" w:themeShade="BF"/>
      <w:spacing w:val="5"/>
      <w:kern w:val="28"/>
      <w:sz w:val="52"/>
      <w:szCs w:val="52"/>
    </w:rPr>
  </w:style>
  <w:style w:type="paragraph" w:styleId="aff0">
    <w:name w:val="header"/>
    <w:basedOn w:val="a"/>
    <w:link w:val="aff1"/>
    <w:rsid w:val="005B4F7F"/>
    <w:pPr>
      <w:tabs>
        <w:tab w:val="center" w:pos="4677"/>
        <w:tab w:val="right" w:pos="9355"/>
      </w:tabs>
      <w:spacing w:line="240" w:lineRule="auto"/>
    </w:pPr>
  </w:style>
  <w:style w:type="character" w:customStyle="1" w:styleId="aff1">
    <w:name w:val="Верхний колонтитул Знак"/>
    <w:basedOn w:val="a0"/>
    <w:link w:val="aff0"/>
    <w:rsid w:val="005B4F7F"/>
    <w:rPr>
      <w:rFonts w:eastAsia="Calibri"/>
      <w:sz w:val="26"/>
    </w:rPr>
  </w:style>
  <w:style w:type="character" w:customStyle="1" w:styleId="hpsatn0">
    <w:name w:val="hps &#10;atn"/>
    <w:basedOn w:val="a0"/>
    <w:rsid w:val="00044321"/>
  </w:style>
  <w:style w:type="numbering" w:customStyle="1" w:styleId="13">
    <w:name w:val="Нет списка1"/>
    <w:next w:val="a2"/>
    <w:uiPriority w:val="99"/>
    <w:semiHidden/>
    <w:unhideWhenUsed/>
    <w:rsid w:val="002064E9"/>
  </w:style>
  <w:style w:type="character" w:customStyle="1" w:styleId="14">
    <w:name w:val="Текст выноски Знак1"/>
    <w:basedOn w:val="a0"/>
    <w:uiPriority w:val="99"/>
    <w:semiHidden/>
    <w:rsid w:val="002064E9"/>
    <w:rPr>
      <w:rFonts w:ascii="Tahoma" w:eastAsia="Calibri" w:hAnsi="Tahoma" w:cs="Tahoma"/>
      <w:sz w:val="16"/>
      <w:szCs w:val="16"/>
      <w:lang w:eastAsia="ru-RU"/>
    </w:rPr>
  </w:style>
  <w:style w:type="table" w:customStyle="1" w:styleId="15">
    <w:name w:val="Сетка таблицы1"/>
    <w:basedOn w:val="a1"/>
    <w:next w:val="af0"/>
    <w:rsid w:val="002064E9"/>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3489">
      <w:bodyDiv w:val="1"/>
      <w:marLeft w:val="0"/>
      <w:marRight w:val="0"/>
      <w:marTop w:val="0"/>
      <w:marBottom w:val="0"/>
      <w:divBdr>
        <w:top w:val="none" w:sz="0" w:space="0" w:color="auto"/>
        <w:left w:val="none" w:sz="0" w:space="0" w:color="auto"/>
        <w:bottom w:val="none" w:sz="0" w:space="0" w:color="auto"/>
        <w:right w:val="none" w:sz="0" w:space="0" w:color="auto"/>
      </w:divBdr>
    </w:div>
    <w:div w:id="95643145">
      <w:bodyDiv w:val="1"/>
      <w:marLeft w:val="0"/>
      <w:marRight w:val="0"/>
      <w:marTop w:val="0"/>
      <w:marBottom w:val="0"/>
      <w:divBdr>
        <w:top w:val="none" w:sz="0" w:space="0" w:color="auto"/>
        <w:left w:val="none" w:sz="0" w:space="0" w:color="auto"/>
        <w:bottom w:val="none" w:sz="0" w:space="0" w:color="auto"/>
        <w:right w:val="none" w:sz="0" w:space="0" w:color="auto"/>
      </w:divBdr>
    </w:div>
    <w:div w:id="114720445">
      <w:bodyDiv w:val="1"/>
      <w:marLeft w:val="0"/>
      <w:marRight w:val="0"/>
      <w:marTop w:val="0"/>
      <w:marBottom w:val="0"/>
      <w:divBdr>
        <w:top w:val="none" w:sz="0" w:space="0" w:color="auto"/>
        <w:left w:val="none" w:sz="0" w:space="0" w:color="auto"/>
        <w:bottom w:val="none" w:sz="0" w:space="0" w:color="auto"/>
        <w:right w:val="none" w:sz="0" w:space="0" w:color="auto"/>
      </w:divBdr>
    </w:div>
    <w:div w:id="318653710">
      <w:bodyDiv w:val="1"/>
      <w:marLeft w:val="0"/>
      <w:marRight w:val="0"/>
      <w:marTop w:val="0"/>
      <w:marBottom w:val="0"/>
      <w:divBdr>
        <w:top w:val="none" w:sz="0" w:space="0" w:color="auto"/>
        <w:left w:val="none" w:sz="0" w:space="0" w:color="auto"/>
        <w:bottom w:val="none" w:sz="0" w:space="0" w:color="auto"/>
        <w:right w:val="none" w:sz="0" w:space="0" w:color="auto"/>
      </w:divBdr>
    </w:div>
    <w:div w:id="407071906">
      <w:bodyDiv w:val="1"/>
      <w:marLeft w:val="0"/>
      <w:marRight w:val="0"/>
      <w:marTop w:val="0"/>
      <w:marBottom w:val="0"/>
      <w:divBdr>
        <w:top w:val="none" w:sz="0" w:space="0" w:color="auto"/>
        <w:left w:val="none" w:sz="0" w:space="0" w:color="auto"/>
        <w:bottom w:val="none" w:sz="0" w:space="0" w:color="auto"/>
        <w:right w:val="none" w:sz="0" w:space="0" w:color="auto"/>
      </w:divBdr>
    </w:div>
    <w:div w:id="487479267">
      <w:bodyDiv w:val="1"/>
      <w:marLeft w:val="0"/>
      <w:marRight w:val="0"/>
      <w:marTop w:val="0"/>
      <w:marBottom w:val="0"/>
      <w:divBdr>
        <w:top w:val="none" w:sz="0" w:space="0" w:color="auto"/>
        <w:left w:val="none" w:sz="0" w:space="0" w:color="auto"/>
        <w:bottom w:val="none" w:sz="0" w:space="0" w:color="auto"/>
        <w:right w:val="none" w:sz="0" w:space="0" w:color="auto"/>
      </w:divBdr>
    </w:div>
    <w:div w:id="536968266">
      <w:bodyDiv w:val="1"/>
      <w:marLeft w:val="0"/>
      <w:marRight w:val="0"/>
      <w:marTop w:val="0"/>
      <w:marBottom w:val="0"/>
      <w:divBdr>
        <w:top w:val="none" w:sz="0" w:space="0" w:color="auto"/>
        <w:left w:val="none" w:sz="0" w:space="0" w:color="auto"/>
        <w:bottom w:val="none" w:sz="0" w:space="0" w:color="auto"/>
        <w:right w:val="none" w:sz="0" w:space="0" w:color="auto"/>
      </w:divBdr>
    </w:div>
    <w:div w:id="540359724">
      <w:bodyDiv w:val="1"/>
      <w:marLeft w:val="0"/>
      <w:marRight w:val="0"/>
      <w:marTop w:val="0"/>
      <w:marBottom w:val="0"/>
      <w:divBdr>
        <w:top w:val="none" w:sz="0" w:space="0" w:color="auto"/>
        <w:left w:val="none" w:sz="0" w:space="0" w:color="auto"/>
        <w:bottom w:val="none" w:sz="0" w:space="0" w:color="auto"/>
        <w:right w:val="none" w:sz="0" w:space="0" w:color="auto"/>
      </w:divBdr>
    </w:div>
    <w:div w:id="542256934">
      <w:bodyDiv w:val="1"/>
      <w:marLeft w:val="0"/>
      <w:marRight w:val="0"/>
      <w:marTop w:val="0"/>
      <w:marBottom w:val="0"/>
      <w:divBdr>
        <w:top w:val="none" w:sz="0" w:space="0" w:color="auto"/>
        <w:left w:val="none" w:sz="0" w:space="0" w:color="auto"/>
        <w:bottom w:val="none" w:sz="0" w:space="0" w:color="auto"/>
        <w:right w:val="none" w:sz="0" w:space="0" w:color="auto"/>
      </w:divBdr>
    </w:div>
    <w:div w:id="563030699">
      <w:bodyDiv w:val="1"/>
      <w:marLeft w:val="0"/>
      <w:marRight w:val="0"/>
      <w:marTop w:val="0"/>
      <w:marBottom w:val="0"/>
      <w:divBdr>
        <w:top w:val="none" w:sz="0" w:space="0" w:color="auto"/>
        <w:left w:val="none" w:sz="0" w:space="0" w:color="auto"/>
        <w:bottom w:val="none" w:sz="0" w:space="0" w:color="auto"/>
        <w:right w:val="none" w:sz="0" w:space="0" w:color="auto"/>
      </w:divBdr>
    </w:div>
    <w:div w:id="630210806">
      <w:bodyDiv w:val="1"/>
      <w:marLeft w:val="0"/>
      <w:marRight w:val="0"/>
      <w:marTop w:val="0"/>
      <w:marBottom w:val="0"/>
      <w:divBdr>
        <w:top w:val="none" w:sz="0" w:space="0" w:color="auto"/>
        <w:left w:val="none" w:sz="0" w:space="0" w:color="auto"/>
        <w:bottom w:val="none" w:sz="0" w:space="0" w:color="auto"/>
        <w:right w:val="none" w:sz="0" w:space="0" w:color="auto"/>
      </w:divBdr>
    </w:div>
    <w:div w:id="662052486">
      <w:bodyDiv w:val="1"/>
      <w:marLeft w:val="0"/>
      <w:marRight w:val="0"/>
      <w:marTop w:val="0"/>
      <w:marBottom w:val="0"/>
      <w:divBdr>
        <w:top w:val="none" w:sz="0" w:space="0" w:color="auto"/>
        <w:left w:val="none" w:sz="0" w:space="0" w:color="auto"/>
        <w:bottom w:val="none" w:sz="0" w:space="0" w:color="auto"/>
        <w:right w:val="none" w:sz="0" w:space="0" w:color="auto"/>
      </w:divBdr>
    </w:div>
    <w:div w:id="692265550">
      <w:bodyDiv w:val="1"/>
      <w:marLeft w:val="0"/>
      <w:marRight w:val="0"/>
      <w:marTop w:val="0"/>
      <w:marBottom w:val="0"/>
      <w:divBdr>
        <w:top w:val="none" w:sz="0" w:space="0" w:color="auto"/>
        <w:left w:val="none" w:sz="0" w:space="0" w:color="auto"/>
        <w:bottom w:val="none" w:sz="0" w:space="0" w:color="auto"/>
        <w:right w:val="none" w:sz="0" w:space="0" w:color="auto"/>
      </w:divBdr>
    </w:div>
    <w:div w:id="703754442">
      <w:bodyDiv w:val="1"/>
      <w:marLeft w:val="0"/>
      <w:marRight w:val="0"/>
      <w:marTop w:val="0"/>
      <w:marBottom w:val="0"/>
      <w:divBdr>
        <w:top w:val="none" w:sz="0" w:space="0" w:color="auto"/>
        <w:left w:val="none" w:sz="0" w:space="0" w:color="auto"/>
        <w:bottom w:val="none" w:sz="0" w:space="0" w:color="auto"/>
        <w:right w:val="none" w:sz="0" w:space="0" w:color="auto"/>
      </w:divBdr>
    </w:div>
    <w:div w:id="794325485">
      <w:bodyDiv w:val="1"/>
      <w:marLeft w:val="0"/>
      <w:marRight w:val="0"/>
      <w:marTop w:val="0"/>
      <w:marBottom w:val="0"/>
      <w:divBdr>
        <w:top w:val="none" w:sz="0" w:space="0" w:color="auto"/>
        <w:left w:val="none" w:sz="0" w:space="0" w:color="auto"/>
        <w:bottom w:val="none" w:sz="0" w:space="0" w:color="auto"/>
        <w:right w:val="none" w:sz="0" w:space="0" w:color="auto"/>
      </w:divBdr>
    </w:div>
    <w:div w:id="807089647">
      <w:bodyDiv w:val="1"/>
      <w:marLeft w:val="0"/>
      <w:marRight w:val="0"/>
      <w:marTop w:val="0"/>
      <w:marBottom w:val="0"/>
      <w:divBdr>
        <w:top w:val="none" w:sz="0" w:space="0" w:color="auto"/>
        <w:left w:val="none" w:sz="0" w:space="0" w:color="auto"/>
        <w:bottom w:val="none" w:sz="0" w:space="0" w:color="auto"/>
        <w:right w:val="none" w:sz="0" w:space="0" w:color="auto"/>
      </w:divBdr>
    </w:div>
    <w:div w:id="872039911">
      <w:bodyDiv w:val="1"/>
      <w:marLeft w:val="0"/>
      <w:marRight w:val="0"/>
      <w:marTop w:val="0"/>
      <w:marBottom w:val="0"/>
      <w:divBdr>
        <w:top w:val="none" w:sz="0" w:space="0" w:color="auto"/>
        <w:left w:val="none" w:sz="0" w:space="0" w:color="auto"/>
        <w:bottom w:val="none" w:sz="0" w:space="0" w:color="auto"/>
        <w:right w:val="none" w:sz="0" w:space="0" w:color="auto"/>
      </w:divBdr>
    </w:div>
    <w:div w:id="899634637">
      <w:bodyDiv w:val="1"/>
      <w:marLeft w:val="0"/>
      <w:marRight w:val="0"/>
      <w:marTop w:val="0"/>
      <w:marBottom w:val="0"/>
      <w:divBdr>
        <w:top w:val="none" w:sz="0" w:space="0" w:color="auto"/>
        <w:left w:val="none" w:sz="0" w:space="0" w:color="auto"/>
        <w:bottom w:val="none" w:sz="0" w:space="0" w:color="auto"/>
        <w:right w:val="none" w:sz="0" w:space="0" w:color="auto"/>
      </w:divBdr>
    </w:div>
    <w:div w:id="1079475304">
      <w:bodyDiv w:val="1"/>
      <w:marLeft w:val="0"/>
      <w:marRight w:val="0"/>
      <w:marTop w:val="0"/>
      <w:marBottom w:val="0"/>
      <w:divBdr>
        <w:top w:val="none" w:sz="0" w:space="0" w:color="auto"/>
        <w:left w:val="none" w:sz="0" w:space="0" w:color="auto"/>
        <w:bottom w:val="none" w:sz="0" w:space="0" w:color="auto"/>
        <w:right w:val="none" w:sz="0" w:space="0" w:color="auto"/>
      </w:divBdr>
    </w:div>
    <w:div w:id="1080982746">
      <w:bodyDiv w:val="1"/>
      <w:marLeft w:val="0"/>
      <w:marRight w:val="0"/>
      <w:marTop w:val="0"/>
      <w:marBottom w:val="0"/>
      <w:divBdr>
        <w:top w:val="none" w:sz="0" w:space="0" w:color="auto"/>
        <w:left w:val="none" w:sz="0" w:space="0" w:color="auto"/>
        <w:bottom w:val="none" w:sz="0" w:space="0" w:color="auto"/>
        <w:right w:val="none" w:sz="0" w:space="0" w:color="auto"/>
      </w:divBdr>
    </w:div>
    <w:div w:id="1208487303">
      <w:bodyDiv w:val="1"/>
      <w:marLeft w:val="0"/>
      <w:marRight w:val="0"/>
      <w:marTop w:val="0"/>
      <w:marBottom w:val="0"/>
      <w:divBdr>
        <w:top w:val="none" w:sz="0" w:space="0" w:color="auto"/>
        <w:left w:val="none" w:sz="0" w:space="0" w:color="auto"/>
        <w:bottom w:val="none" w:sz="0" w:space="0" w:color="auto"/>
        <w:right w:val="none" w:sz="0" w:space="0" w:color="auto"/>
      </w:divBdr>
    </w:div>
    <w:div w:id="1215778426">
      <w:bodyDiv w:val="1"/>
      <w:marLeft w:val="0"/>
      <w:marRight w:val="0"/>
      <w:marTop w:val="0"/>
      <w:marBottom w:val="0"/>
      <w:divBdr>
        <w:top w:val="none" w:sz="0" w:space="0" w:color="auto"/>
        <w:left w:val="none" w:sz="0" w:space="0" w:color="auto"/>
        <w:bottom w:val="none" w:sz="0" w:space="0" w:color="auto"/>
        <w:right w:val="none" w:sz="0" w:space="0" w:color="auto"/>
      </w:divBdr>
    </w:div>
    <w:div w:id="1258948733">
      <w:bodyDiv w:val="1"/>
      <w:marLeft w:val="0"/>
      <w:marRight w:val="0"/>
      <w:marTop w:val="0"/>
      <w:marBottom w:val="0"/>
      <w:divBdr>
        <w:top w:val="none" w:sz="0" w:space="0" w:color="auto"/>
        <w:left w:val="none" w:sz="0" w:space="0" w:color="auto"/>
        <w:bottom w:val="none" w:sz="0" w:space="0" w:color="auto"/>
        <w:right w:val="none" w:sz="0" w:space="0" w:color="auto"/>
      </w:divBdr>
    </w:div>
    <w:div w:id="1307393133">
      <w:bodyDiv w:val="1"/>
      <w:marLeft w:val="0"/>
      <w:marRight w:val="0"/>
      <w:marTop w:val="0"/>
      <w:marBottom w:val="0"/>
      <w:divBdr>
        <w:top w:val="none" w:sz="0" w:space="0" w:color="auto"/>
        <w:left w:val="none" w:sz="0" w:space="0" w:color="auto"/>
        <w:bottom w:val="none" w:sz="0" w:space="0" w:color="auto"/>
        <w:right w:val="none" w:sz="0" w:space="0" w:color="auto"/>
      </w:divBdr>
    </w:div>
    <w:div w:id="1312783441">
      <w:bodyDiv w:val="1"/>
      <w:marLeft w:val="0"/>
      <w:marRight w:val="0"/>
      <w:marTop w:val="0"/>
      <w:marBottom w:val="0"/>
      <w:divBdr>
        <w:top w:val="none" w:sz="0" w:space="0" w:color="auto"/>
        <w:left w:val="none" w:sz="0" w:space="0" w:color="auto"/>
        <w:bottom w:val="none" w:sz="0" w:space="0" w:color="auto"/>
        <w:right w:val="none" w:sz="0" w:space="0" w:color="auto"/>
      </w:divBdr>
    </w:div>
    <w:div w:id="1371302751">
      <w:bodyDiv w:val="1"/>
      <w:marLeft w:val="0"/>
      <w:marRight w:val="0"/>
      <w:marTop w:val="0"/>
      <w:marBottom w:val="0"/>
      <w:divBdr>
        <w:top w:val="none" w:sz="0" w:space="0" w:color="auto"/>
        <w:left w:val="none" w:sz="0" w:space="0" w:color="auto"/>
        <w:bottom w:val="none" w:sz="0" w:space="0" w:color="auto"/>
        <w:right w:val="none" w:sz="0" w:space="0" w:color="auto"/>
      </w:divBdr>
    </w:div>
    <w:div w:id="1491167059">
      <w:bodyDiv w:val="1"/>
      <w:marLeft w:val="0"/>
      <w:marRight w:val="0"/>
      <w:marTop w:val="0"/>
      <w:marBottom w:val="0"/>
      <w:divBdr>
        <w:top w:val="none" w:sz="0" w:space="0" w:color="auto"/>
        <w:left w:val="none" w:sz="0" w:space="0" w:color="auto"/>
        <w:bottom w:val="none" w:sz="0" w:space="0" w:color="auto"/>
        <w:right w:val="none" w:sz="0" w:space="0" w:color="auto"/>
      </w:divBdr>
      <w:divsChild>
        <w:div w:id="100731910">
          <w:marLeft w:val="0"/>
          <w:marRight w:val="0"/>
          <w:marTop w:val="0"/>
          <w:marBottom w:val="0"/>
          <w:divBdr>
            <w:top w:val="none" w:sz="0" w:space="0" w:color="auto"/>
            <w:left w:val="none" w:sz="0" w:space="0" w:color="auto"/>
            <w:bottom w:val="none" w:sz="0" w:space="0" w:color="auto"/>
            <w:right w:val="none" w:sz="0" w:space="0" w:color="auto"/>
          </w:divBdr>
        </w:div>
        <w:div w:id="1859540064">
          <w:marLeft w:val="0"/>
          <w:marRight w:val="0"/>
          <w:marTop w:val="0"/>
          <w:marBottom w:val="0"/>
          <w:divBdr>
            <w:top w:val="none" w:sz="0" w:space="0" w:color="auto"/>
            <w:left w:val="none" w:sz="0" w:space="0" w:color="auto"/>
            <w:bottom w:val="none" w:sz="0" w:space="0" w:color="auto"/>
            <w:right w:val="none" w:sz="0" w:space="0" w:color="auto"/>
          </w:divBdr>
        </w:div>
      </w:divsChild>
    </w:div>
    <w:div w:id="1554194114">
      <w:bodyDiv w:val="1"/>
      <w:marLeft w:val="0"/>
      <w:marRight w:val="0"/>
      <w:marTop w:val="0"/>
      <w:marBottom w:val="0"/>
      <w:divBdr>
        <w:top w:val="none" w:sz="0" w:space="0" w:color="auto"/>
        <w:left w:val="none" w:sz="0" w:space="0" w:color="auto"/>
        <w:bottom w:val="none" w:sz="0" w:space="0" w:color="auto"/>
        <w:right w:val="none" w:sz="0" w:space="0" w:color="auto"/>
      </w:divBdr>
    </w:div>
    <w:div w:id="1656452403">
      <w:bodyDiv w:val="1"/>
      <w:marLeft w:val="0"/>
      <w:marRight w:val="0"/>
      <w:marTop w:val="0"/>
      <w:marBottom w:val="0"/>
      <w:divBdr>
        <w:top w:val="none" w:sz="0" w:space="0" w:color="auto"/>
        <w:left w:val="none" w:sz="0" w:space="0" w:color="auto"/>
        <w:bottom w:val="none" w:sz="0" w:space="0" w:color="auto"/>
        <w:right w:val="none" w:sz="0" w:space="0" w:color="auto"/>
      </w:divBdr>
    </w:div>
    <w:div w:id="1676151296">
      <w:bodyDiv w:val="1"/>
      <w:marLeft w:val="0"/>
      <w:marRight w:val="0"/>
      <w:marTop w:val="0"/>
      <w:marBottom w:val="0"/>
      <w:divBdr>
        <w:top w:val="none" w:sz="0" w:space="0" w:color="auto"/>
        <w:left w:val="none" w:sz="0" w:space="0" w:color="auto"/>
        <w:bottom w:val="none" w:sz="0" w:space="0" w:color="auto"/>
        <w:right w:val="none" w:sz="0" w:space="0" w:color="auto"/>
      </w:divBdr>
    </w:div>
    <w:div w:id="1752433235">
      <w:bodyDiv w:val="1"/>
      <w:marLeft w:val="0"/>
      <w:marRight w:val="0"/>
      <w:marTop w:val="0"/>
      <w:marBottom w:val="0"/>
      <w:divBdr>
        <w:top w:val="none" w:sz="0" w:space="0" w:color="auto"/>
        <w:left w:val="none" w:sz="0" w:space="0" w:color="auto"/>
        <w:bottom w:val="none" w:sz="0" w:space="0" w:color="auto"/>
        <w:right w:val="none" w:sz="0" w:space="0" w:color="auto"/>
      </w:divBdr>
    </w:div>
    <w:div w:id="1759136402">
      <w:bodyDiv w:val="1"/>
      <w:marLeft w:val="0"/>
      <w:marRight w:val="0"/>
      <w:marTop w:val="0"/>
      <w:marBottom w:val="0"/>
      <w:divBdr>
        <w:top w:val="none" w:sz="0" w:space="0" w:color="auto"/>
        <w:left w:val="none" w:sz="0" w:space="0" w:color="auto"/>
        <w:bottom w:val="none" w:sz="0" w:space="0" w:color="auto"/>
        <w:right w:val="none" w:sz="0" w:space="0" w:color="auto"/>
      </w:divBdr>
    </w:div>
    <w:div w:id="1835994076">
      <w:bodyDiv w:val="1"/>
      <w:marLeft w:val="0"/>
      <w:marRight w:val="0"/>
      <w:marTop w:val="0"/>
      <w:marBottom w:val="0"/>
      <w:divBdr>
        <w:top w:val="none" w:sz="0" w:space="0" w:color="auto"/>
        <w:left w:val="none" w:sz="0" w:space="0" w:color="auto"/>
        <w:bottom w:val="none" w:sz="0" w:space="0" w:color="auto"/>
        <w:right w:val="none" w:sz="0" w:space="0" w:color="auto"/>
      </w:divBdr>
      <w:divsChild>
        <w:div w:id="44372509">
          <w:marLeft w:val="806"/>
          <w:marRight w:val="0"/>
          <w:marTop w:val="0"/>
          <w:marBottom w:val="600"/>
          <w:divBdr>
            <w:top w:val="none" w:sz="0" w:space="0" w:color="auto"/>
            <w:left w:val="none" w:sz="0" w:space="0" w:color="auto"/>
            <w:bottom w:val="none" w:sz="0" w:space="0" w:color="auto"/>
            <w:right w:val="none" w:sz="0" w:space="0" w:color="auto"/>
          </w:divBdr>
        </w:div>
      </w:divsChild>
    </w:div>
    <w:div w:id="1847089493">
      <w:bodyDiv w:val="1"/>
      <w:marLeft w:val="0"/>
      <w:marRight w:val="0"/>
      <w:marTop w:val="0"/>
      <w:marBottom w:val="0"/>
      <w:divBdr>
        <w:top w:val="none" w:sz="0" w:space="0" w:color="auto"/>
        <w:left w:val="none" w:sz="0" w:space="0" w:color="auto"/>
        <w:bottom w:val="none" w:sz="0" w:space="0" w:color="auto"/>
        <w:right w:val="none" w:sz="0" w:space="0" w:color="auto"/>
      </w:divBdr>
    </w:div>
    <w:div w:id="1922523651">
      <w:bodyDiv w:val="1"/>
      <w:marLeft w:val="0"/>
      <w:marRight w:val="0"/>
      <w:marTop w:val="0"/>
      <w:marBottom w:val="0"/>
      <w:divBdr>
        <w:top w:val="none" w:sz="0" w:space="0" w:color="auto"/>
        <w:left w:val="none" w:sz="0" w:space="0" w:color="auto"/>
        <w:bottom w:val="none" w:sz="0" w:space="0" w:color="auto"/>
        <w:right w:val="none" w:sz="0" w:space="0" w:color="auto"/>
      </w:divBdr>
    </w:div>
    <w:div w:id="193916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18AA5-7C1A-4F17-8DE1-40EE233C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6049</Words>
  <Characters>34482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40451</CharactersWithSpaces>
  <SharedDoc>false</SharedDoc>
  <HLinks>
    <vt:vector size="60" baseType="variant">
      <vt:variant>
        <vt:i4>2424916</vt:i4>
      </vt:variant>
      <vt:variant>
        <vt:i4>56</vt:i4>
      </vt:variant>
      <vt:variant>
        <vt:i4>0</vt:i4>
      </vt:variant>
      <vt:variant>
        <vt:i4>5</vt:i4>
      </vt:variant>
      <vt:variant>
        <vt:lpwstr>http://ru.wikipedia.org/wiki/%D0%A0%D1%8B%D0%BD%D0%BE%D1%87%D0%BD%D0%B0%D1%8F_%D1%8D%D0%BA%D0%BE%D0%BD%D0%BE%D0%BC%D0%B8%D0%BA%D0%B0</vt:lpwstr>
      </vt:variant>
      <vt:variant>
        <vt:lpwstr/>
      </vt:variant>
      <vt:variant>
        <vt:i4>5308534</vt:i4>
      </vt:variant>
      <vt:variant>
        <vt:i4>53</vt:i4>
      </vt:variant>
      <vt:variant>
        <vt:i4>0</vt:i4>
      </vt:variant>
      <vt:variant>
        <vt:i4>5</vt:i4>
      </vt:variant>
      <vt:variant>
        <vt:lpwstr>http://ru.wikipedia.org/wiki/%D0%A0%D0%B0%D0%B7%D0%B2%D0%B8%D1%82%D1%8B%D0%B5_%D1%81%D1%82%D1%80%D0%B0%D0%BD%D1%8B</vt:lpwstr>
      </vt:variant>
      <vt:variant>
        <vt:lpwstr/>
      </vt:variant>
      <vt:variant>
        <vt:i4>1769532</vt:i4>
      </vt:variant>
      <vt:variant>
        <vt:i4>46</vt:i4>
      </vt:variant>
      <vt:variant>
        <vt:i4>0</vt:i4>
      </vt:variant>
      <vt:variant>
        <vt:i4>5</vt:i4>
      </vt:variant>
      <vt:variant>
        <vt:lpwstr/>
      </vt:variant>
      <vt:variant>
        <vt:lpwstr>_Toc341889694</vt:lpwstr>
      </vt:variant>
      <vt:variant>
        <vt:i4>1769532</vt:i4>
      </vt:variant>
      <vt:variant>
        <vt:i4>40</vt:i4>
      </vt:variant>
      <vt:variant>
        <vt:i4>0</vt:i4>
      </vt:variant>
      <vt:variant>
        <vt:i4>5</vt:i4>
      </vt:variant>
      <vt:variant>
        <vt:lpwstr/>
      </vt:variant>
      <vt:variant>
        <vt:lpwstr>_Toc341889693</vt:lpwstr>
      </vt:variant>
      <vt:variant>
        <vt:i4>1769532</vt:i4>
      </vt:variant>
      <vt:variant>
        <vt:i4>34</vt:i4>
      </vt:variant>
      <vt:variant>
        <vt:i4>0</vt:i4>
      </vt:variant>
      <vt:variant>
        <vt:i4>5</vt:i4>
      </vt:variant>
      <vt:variant>
        <vt:lpwstr/>
      </vt:variant>
      <vt:variant>
        <vt:lpwstr>_Toc341889692</vt:lpwstr>
      </vt:variant>
      <vt:variant>
        <vt:i4>1769532</vt:i4>
      </vt:variant>
      <vt:variant>
        <vt:i4>28</vt:i4>
      </vt:variant>
      <vt:variant>
        <vt:i4>0</vt:i4>
      </vt:variant>
      <vt:variant>
        <vt:i4>5</vt:i4>
      </vt:variant>
      <vt:variant>
        <vt:lpwstr/>
      </vt:variant>
      <vt:variant>
        <vt:lpwstr>_Toc341889691</vt:lpwstr>
      </vt:variant>
      <vt:variant>
        <vt:i4>1769532</vt:i4>
      </vt:variant>
      <vt:variant>
        <vt:i4>22</vt:i4>
      </vt:variant>
      <vt:variant>
        <vt:i4>0</vt:i4>
      </vt:variant>
      <vt:variant>
        <vt:i4>5</vt:i4>
      </vt:variant>
      <vt:variant>
        <vt:lpwstr/>
      </vt:variant>
      <vt:variant>
        <vt:lpwstr>_Toc341889690</vt:lpwstr>
      </vt:variant>
      <vt:variant>
        <vt:i4>1703996</vt:i4>
      </vt:variant>
      <vt:variant>
        <vt:i4>16</vt:i4>
      </vt:variant>
      <vt:variant>
        <vt:i4>0</vt:i4>
      </vt:variant>
      <vt:variant>
        <vt:i4>5</vt:i4>
      </vt:variant>
      <vt:variant>
        <vt:lpwstr/>
      </vt:variant>
      <vt:variant>
        <vt:lpwstr>_Toc341889689</vt:lpwstr>
      </vt:variant>
      <vt:variant>
        <vt:i4>1703996</vt:i4>
      </vt:variant>
      <vt:variant>
        <vt:i4>10</vt:i4>
      </vt:variant>
      <vt:variant>
        <vt:i4>0</vt:i4>
      </vt:variant>
      <vt:variant>
        <vt:i4>5</vt:i4>
      </vt:variant>
      <vt:variant>
        <vt:lpwstr/>
      </vt:variant>
      <vt:variant>
        <vt:lpwstr>_Toc341889688</vt:lpwstr>
      </vt:variant>
      <vt:variant>
        <vt:i4>7340139</vt:i4>
      </vt:variant>
      <vt:variant>
        <vt:i4>0</vt:i4>
      </vt:variant>
      <vt:variant>
        <vt:i4>0</vt:i4>
      </vt:variant>
      <vt:variant>
        <vt:i4>5</vt:i4>
      </vt:variant>
      <vt:variant>
        <vt:lpwstr>http://www.mfat.govt.nz/Trade-and-Economic-Relations/2-Trade-Relationships-and-Agreements/index.php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chokaev</dc:creator>
  <cp:lastModifiedBy>Бекхан</cp:lastModifiedBy>
  <cp:revision>9</cp:revision>
  <cp:lastPrinted>2013-12-09T12:58:00Z</cp:lastPrinted>
  <dcterms:created xsi:type="dcterms:W3CDTF">2014-05-02T12:18:00Z</dcterms:created>
  <dcterms:modified xsi:type="dcterms:W3CDTF">2014-05-02T13:06:00Z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ies>
</file>