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E5" w:rsidRPr="00817DEA" w:rsidRDefault="00817DEA" w:rsidP="00817DEA">
      <w:pPr>
        <w:jc w:val="center"/>
        <w:rPr>
          <w:b/>
          <w:sz w:val="26"/>
        </w:rPr>
      </w:pPr>
      <w:r w:rsidRPr="00817DEA">
        <w:rPr>
          <w:b/>
          <w:sz w:val="26"/>
        </w:rPr>
        <w:t>An Empirical Investigation of</w:t>
      </w:r>
      <w:r w:rsidR="00816EE5" w:rsidRPr="00817DEA">
        <w:rPr>
          <w:b/>
          <w:sz w:val="26"/>
        </w:rPr>
        <w:t xml:space="preserve"> Bilateral Trade Flow Shocks: Nigeria-India</w:t>
      </w:r>
    </w:p>
    <w:p w:rsidR="00816EE5" w:rsidRPr="00A42ABF" w:rsidRDefault="00816EE5" w:rsidP="00580ECF">
      <w:pPr>
        <w:jc w:val="both"/>
      </w:pPr>
    </w:p>
    <w:p w:rsidR="00D87A11" w:rsidRPr="00580ECF" w:rsidRDefault="000E1BCC" w:rsidP="00580ECF">
      <w:pPr>
        <w:jc w:val="center"/>
        <w:rPr>
          <w:b/>
        </w:rPr>
      </w:pPr>
      <w:r w:rsidRPr="00580ECF">
        <w:rPr>
          <w:b/>
        </w:rPr>
        <w:t>Abstract</w:t>
      </w:r>
    </w:p>
    <w:p w:rsidR="00EC5D4D" w:rsidRDefault="000E1BCC" w:rsidP="00D8762F">
      <w:pPr>
        <w:jc w:val="both"/>
      </w:pPr>
      <w:r w:rsidRPr="00A42ABF">
        <w:t xml:space="preserve">This study </w:t>
      </w:r>
      <w:r w:rsidR="00580ECF">
        <w:t xml:space="preserve">empirically </w:t>
      </w:r>
      <w:r w:rsidRPr="00A42ABF">
        <w:t xml:space="preserve">investigates the </w:t>
      </w:r>
      <w:r w:rsidR="00580ECF">
        <w:t>shock relationship</w:t>
      </w:r>
      <w:r w:rsidRPr="00A42ABF">
        <w:t xml:space="preserve"> of </w:t>
      </w:r>
      <w:r w:rsidR="00580ECF">
        <w:t xml:space="preserve">exchange rate volatility on </w:t>
      </w:r>
      <w:r w:rsidR="00D8762F">
        <w:t xml:space="preserve">bilateral </w:t>
      </w:r>
      <w:r w:rsidR="00580ECF">
        <w:t xml:space="preserve">trade flows </w:t>
      </w:r>
      <w:r w:rsidR="00D8762F">
        <w:t>between</w:t>
      </w:r>
      <w:r w:rsidRPr="00A42ABF">
        <w:t xml:space="preserve"> Nigeria</w:t>
      </w:r>
      <w:r w:rsidR="00D8762F">
        <w:t xml:space="preserve"> and India</w:t>
      </w:r>
      <w:r w:rsidRPr="00A42ABF">
        <w:t xml:space="preserve">.  We estimate a VAR model to identify unanticipated shocks in </w:t>
      </w:r>
      <w:r w:rsidR="00580ECF">
        <w:t>trade flows</w:t>
      </w:r>
      <w:r w:rsidRPr="00A42ABF">
        <w:t xml:space="preserve"> and evaluate its </w:t>
      </w:r>
      <w:r w:rsidR="00D8762F">
        <w:t xml:space="preserve">related shock </w:t>
      </w:r>
      <w:r w:rsidRPr="00A42ABF">
        <w:t>impact</w:t>
      </w:r>
      <w:r w:rsidR="00D8762F">
        <w:t>s</w:t>
      </w:r>
      <w:r w:rsidRPr="00A42ABF">
        <w:t xml:space="preserve"> </w:t>
      </w:r>
      <w:r w:rsidR="00D8762F">
        <w:t>as a result of the volatile nature of the rate of exchange in the level of bilateral trade between Nigeria and India.</w:t>
      </w:r>
      <w:r w:rsidRPr="00A42ABF">
        <w:t xml:space="preserve"> </w:t>
      </w:r>
      <w:r w:rsidR="00D8762F">
        <w:t xml:space="preserve">To justify the validity of shock effects, we </w:t>
      </w:r>
      <w:r w:rsidRPr="00A42ABF">
        <w:t>consider</w:t>
      </w:r>
      <w:r w:rsidR="00D8762F">
        <w:t>ed</w:t>
      </w:r>
      <w:r w:rsidRPr="00A42ABF">
        <w:t xml:space="preserve"> macroeconomic challenges </w:t>
      </w:r>
      <w:r w:rsidR="00D8762F">
        <w:t xml:space="preserve">on trade flows, due to the level of income of price in </w:t>
      </w:r>
      <w:r w:rsidRPr="00A42ABF">
        <w:t>the</w:t>
      </w:r>
      <w:r w:rsidR="00D8762F">
        <w:t>se</w:t>
      </w:r>
      <w:r w:rsidRPr="00A42ABF">
        <w:t xml:space="preserve"> econom</w:t>
      </w:r>
      <w:r w:rsidR="00D8762F">
        <w:t>ies</w:t>
      </w:r>
      <w:r w:rsidRPr="00A42ABF">
        <w:t xml:space="preserve">.  These analyses enable us to focus on examining the </w:t>
      </w:r>
      <w:r w:rsidR="00D8762F">
        <w:t>degree of shock exchange rate volatility elicit to obstruct bilateral trade flows between these countries.</w:t>
      </w:r>
    </w:p>
    <w:p w:rsidR="00D8762F" w:rsidRDefault="00EC5D4D" w:rsidP="00D8762F">
      <w:pPr>
        <w:jc w:val="both"/>
      </w:pPr>
      <w:r>
        <w:t>The estimates of the innovations of Nigeria trade flows shocks to related India price and income shocks</w:t>
      </w:r>
      <w:r w:rsidR="000E1BCC" w:rsidRPr="00A42ABF">
        <w:t xml:space="preserve"> </w:t>
      </w:r>
      <w:r>
        <w:t>shows that it generates inconsistencies that distorts the levels of Nigeria imports and exports due to uncertainties created as a results of the volatile nature of the domestic rate of interest.  It weakens the levels of ex</w:t>
      </w:r>
      <w:r w:rsidR="00700FCD">
        <w:t xml:space="preserve">ports, suppress the levels of imports and transmit negative shocks that cause inconsistencies in the level of domestic income.  These findings have implication for cross border trade, tariff reforms, international investors and macroeconomic institutions that has links with international finance and trade organizations.  </w:t>
      </w:r>
      <w:r>
        <w:t xml:space="preserve"> </w:t>
      </w:r>
    </w:p>
    <w:p w:rsidR="000E1BCC" w:rsidRPr="00A42ABF" w:rsidRDefault="000E1BCC" w:rsidP="00580ECF">
      <w:pPr>
        <w:jc w:val="both"/>
      </w:pPr>
    </w:p>
    <w:p w:rsidR="00B25A69" w:rsidRPr="00A42ABF" w:rsidRDefault="00B25A69" w:rsidP="00580ECF">
      <w:pPr>
        <w:jc w:val="both"/>
      </w:pPr>
      <w:r w:rsidRPr="00817DEA">
        <w:rPr>
          <w:b/>
        </w:rPr>
        <w:t>JEL Code</w:t>
      </w:r>
      <w:r w:rsidRPr="00A42ABF">
        <w:t>: C22, F17, F31.</w:t>
      </w:r>
    </w:p>
    <w:p w:rsidR="00B25A69" w:rsidRPr="00A42ABF" w:rsidRDefault="00B25A69" w:rsidP="00580ECF">
      <w:pPr>
        <w:jc w:val="both"/>
      </w:pPr>
      <w:r w:rsidRPr="00817DEA">
        <w:rPr>
          <w:b/>
        </w:rPr>
        <w:t>Key Words</w:t>
      </w:r>
      <w:r w:rsidRPr="00A42ABF">
        <w:t>: Exchange Rate, Uncertainty, Trade Flows</w:t>
      </w:r>
    </w:p>
    <w:p w:rsidR="00B25A69" w:rsidRPr="00A42ABF" w:rsidRDefault="00B25A69" w:rsidP="00580ECF">
      <w:pPr>
        <w:jc w:val="both"/>
      </w:pPr>
    </w:p>
    <w:p w:rsidR="00B25A69" w:rsidRPr="00B77D87" w:rsidRDefault="00753F01" w:rsidP="00580ECF">
      <w:pPr>
        <w:jc w:val="both"/>
        <w:rPr>
          <w:b/>
        </w:rPr>
      </w:pPr>
      <w:r>
        <w:rPr>
          <w:b/>
        </w:rPr>
        <w:t xml:space="preserve">1. </w:t>
      </w:r>
      <w:r w:rsidR="002D359C" w:rsidRPr="00B77D87">
        <w:rPr>
          <w:b/>
        </w:rPr>
        <w:t>Introduction</w:t>
      </w:r>
    </w:p>
    <w:p w:rsidR="00B77D87" w:rsidRDefault="000116B8" w:rsidP="00580ECF">
      <w:pPr>
        <w:jc w:val="both"/>
      </w:pPr>
      <w:r w:rsidRPr="00AB46BE">
        <w:t>Advances</w:t>
      </w:r>
      <w:r>
        <w:t xml:space="preserve"> in international</w:t>
      </w:r>
      <w:r w:rsidR="00AB46BE">
        <w:t xml:space="preserve"> finance and</w:t>
      </w:r>
      <w:r>
        <w:t xml:space="preserve"> trade policies reveal that increased trade liberalization, </w:t>
      </w:r>
      <w:r w:rsidRPr="000116B8">
        <w:t>unconstipated</w:t>
      </w:r>
      <w:r>
        <w:t xml:space="preserve"> capital fl</w:t>
      </w:r>
      <w:r w:rsidR="00AB46BE">
        <w:t>ow</w:t>
      </w:r>
      <w:r>
        <w:t xml:space="preserve"> liberalization</w:t>
      </w:r>
      <w:r w:rsidR="00AB46BE">
        <w:t xml:space="preserve"> and regular cross-border financial transactions may enlarge beyond bounds, the effect of exchange rate volatility on trade flows between countries especially advanced and developing countries</w:t>
      </w:r>
      <w:r w:rsidR="00AC2B14">
        <w:t xml:space="preserve"> (</w:t>
      </w:r>
      <w:r w:rsidR="003A2834">
        <w:t xml:space="preserve">McKenzine, 1999; </w:t>
      </w:r>
      <w:r w:rsidR="006D6F50">
        <w:t xml:space="preserve">Arize, Osang and Slottje, 2000; Sauer and Bohara, 2001; </w:t>
      </w:r>
      <w:r w:rsidR="003A2834">
        <w:t xml:space="preserve">Clark, Tamirisa and Wei, 2004; </w:t>
      </w:r>
      <w:r w:rsidR="00751264">
        <w:t xml:space="preserve">Grier and Smallwood, 2007; </w:t>
      </w:r>
      <w:r w:rsidR="008F7FAF">
        <w:t xml:space="preserve">Caglayan and Di, 2008; </w:t>
      </w:r>
      <w:r w:rsidR="00AC2B14">
        <w:t xml:space="preserve">Baum and Caglayan, </w:t>
      </w:r>
      <w:r w:rsidR="00AC2B14" w:rsidRPr="00A42ABF">
        <w:t>2009)</w:t>
      </w:r>
      <w:r w:rsidR="00AB46BE">
        <w:t xml:space="preserve">.  The position of most scholars affirm that exchange rate uncertainty will likely demoralise the heightened levels of the volume of international trade by increasing the </w:t>
      </w:r>
      <w:r w:rsidR="00AB46BE" w:rsidRPr="00AB46BE">
        <w:t>riskiness</w:t>
      </w:r>
      <w:r w:rsidR="00AB46BE">
        <w:t xml:space="preserve"> of </w:t>
      </w:r>
      <w:r w:rsidR="00AF29D1">
        <w:t xml:space="preserve">international trade </w:t>
      </w:r>
      <w:r w:rsidR="00AF29D1" w:rsidRPr="00AF29D1">
        <w:t>activities</w:t>
      </w:r>
      <w:r w:rsidR="00AF29D1">
        <w:t xml:space="preserve"> which will likely inhibit associated levels of trade flows</w:t>
      </w:r>
      <w:r w:rsidR="008F7FAF">
        <w:t xml:space="preserve"> (Wei, 1999; Barkoulas, Baum, and Caglayan, 2002; Engel and Wang, 2007)</w:t>
      </w:r>
      <w:r w:rsidR="00AF29D1">
        <w:t>.</w:t>
      </w:r>
    </w:p>
    <w:p w:rsidR="008F7FAF" w:rsidRDefault="008F7FAF" w:rsidP="00580ECF">
      <w:pPr>
        <w:jc w:val="both"/>
      </w:pPr>
    </w:p>
    <w:p w:rsidR="00AF29D1" w:rsidRDefault="00AF29D1" w:rsidP="00580ECF">
      <w:pPr>
        <w:jc w:val="both"/>
      </w:pPr>
      <w:r>
        <w:t xml:space="preserve">Scholastic views on these issues expose missed facts with </w:t>
      </w:r>
      <w:r w:rsidRPr="00AF29D1">
        <w:t>strict</w:t>
      </w:r>
      <w:r w:rsidR="00BE08DD">
        <w:t>ed</w:t>
      </w:r>
      <w:r>
        <w:t xml:space="preserve"> controversies and strong divides on rigorous debates of empirical findings that suggest that the negative effect of exchange rate volatility on trade flow is prevalent in developing countries</w:t>
      </w:r>
      <w:r w:rsidR="00AC2B14">
        <w:t xml:space="preserve"> while industrialized countries enjoy a stronger positive position in related trade flow situations</w:t>
      </w:r>
      <w:r w:rsidR="00BE08DD">
        <w:t xml:space="preserve"> (</w:t>
      </w:r>
      <w:r w:rsidR="003A2834">
        <w:t xml:space="preserve">Akhtar and Hilton, 1984; Edison and Melvin, 1990; Chawdhury, 1993; </w:t>
      </w:r>
      <w:r w:rsidR="004136E4">
        <w:t xml:space="preserve">Edward, 1999; </w:t>
      </w:r>
      <w:r w:rsidR="00BE08DD">
        <w:t xml:space="preserve">Arize, Osang and Slottje, 2000; Sauer and Bohara, 2001; Grier and Smallwood, 2007; Baum and Caglayan, </w:t>
      </w:r>
      <w:r w:rsidR="00BE08DD" w:rsidRPr="00A42ABF">
        <w:t>2009</w:t>
      </w:r>
      <w:r w:rsidR="003A2834">
        <w:t>; Huchet-Bourdon and Korinek, 2011</w:t>
      </w:r>
      <w:r w:rsidR="00BE08DD">
        <w:t>)</w:t>
      </w:r>
      <w:r w:rsidR="00AC2B14">
        <w:t>.</w:t>
      </w:r>
    </w:p>
    <w:p w:rsidR="00B77D87" w:rsidRDefault="00B77D87" w:rsidP="00580ECF">
      <w:pPr>
        <w:jc w:val="both"/>
      </w:pPr>
    </w:p>
    <w:p w:rsidR="002D359C" w:rsidRDefault="002D359C" w:rsidP="00580ECF">
      <w:pPr>
        <w:jc w:val="both"/>
      </w:pPr>
      <w:r>
        <w:t xml:space="preserve">Identifying the dynamic impacts of exchange rate volatility on trade flows and economic activity in Nigeria and India is necessary to </w:t>
      </w:r>
      <w:r w:rsidRPr="002D359C">
        <w:t>affirm</w:t>
      </w:r>
      <w:r>
        <w:t xml:space="preserve"> the strength </w:t>
      </w:r>
      <w:r w:rsidR="00B77D87">
        <w:t>of the levels of the flows of t</w:t>
      </w:r>
      <w:r>
        <w:t>h</w:t>
      </w:r>
      <w:r w:rsidR="00B77D87">
        <w:t>e</w:t>
      </w:r>
      <w:r>
        <w:t xml:space="preserve"> bilateral trade</w:t>
      </w:r>
      <w:r w:rsidR="00AC2B14">
        <w:t xml:space="preserve"> policies between these countries</w:t>
      </w:r>
      <w:r w:rsidR="00B77D87">
        <w:t>.</w:t>
      </w:r>
      <w:r>
        <w:t xml:space="preserve"> </w:t>
      </w:r>
      <w:r w:rsidR="00B77D87">
        <w:t xml:space="preserve"> We will also</w:t>
      </w:r>
      <w:r>
        <w:t xml:space="preserve"> confirm if the nature </w:t>
      </w:r>
      <w:r>
        <w:lastRenderedPageBreak/>
        <w:t xml:space="preserve">of the trade </w:t>
      </w:r>
      <w:r w:rsidR="00AC2B14">
        <w:t xml:space="preserve">policy </w:t>
      </w:r>
      <w:r>
        <w:t xml:space="preserve">agreement between these countries provides shocks that </w:t>
      </w:r>
      <w:r w:rsidR="00B77D87">
        <w:t>gradually shift the trade flows and in turn affect the levels of</w:t>
      </w:r>
      <w:r>
        <w:t xml:space="preserve"> transaction flows</w:t>
      </w:r>
      <w:r w:rsidR="00B77D87">
        <w:t xml:space="preserve"> in the arrangement.</w:t>
      </w:r>
      <w:r>
        <w:t xml:space="preserve"> </w:t>
      </w:r>
      <w:r w:rsidR="00B77D87">
        <w:t xml:space="preserve"> Consequently, we will closely investigate the central principle of the importance of bilateral trade between these countries in order to note how trade flows react to changes in </w:t>
      </w:r>
      <w:r w:rsidR="00CC0695">
        <w:t>gross domestic income and uncertainties in the rates of exc</w:t>
      </w:r>
      <w:r w:rsidR="00587C70">
        <w:t>hange.  The</w:t>
      </w:r>
      <w:r w:rsidR="00CC0695">
        <w:t>s</w:t>
      </w:r>
      <w:r w:rsidR="00587C70">
        <w:t>e</w:t>
      </w:r>
      <w:r w:rsidR="00CC0695">
        <w:t xml:space="preserve"> objectives are necessary because </w:t>
      </w:r>
      <w:r w:rsidR="007B45CB">
        <w:t xml:space="preserve">the research work of Fullerton and sprinkle </w:t>
      </w:r>
      <w:r w:rsidR="00CC0695">
        <w:t>(</w:t>
      </w:r>
      <w:r w:rsidR="007B45CB">
        <w:t>2005</w:t>
      </w:r>
      <w:r w:rsidR="00CC0695">
        <w:t xml:space="preserve">) </w:t>
      </w:r>
      <w:r w:rsidR="007B45CB">
        <w:t xml:space="preserve">which investigated the error correction of trade flows between the United States and Mexico </w:t>
      </w:r>
      <w:r w:rsidR="00CC0695">
        <w:t>asserted that relative price variations may likely be generated by uncertainties in the levels of national price levels, the nature of tariff manipulation, and changes in the related rates</w:t>
      </w:r>
      <w:r w:rsidR="00B77D87">
        <w:t xml:space="preserve"> </w:t>
      </w:r>
      <w:r w:rsidR="00CC0695">
        <w:t>of exchange.</w:t>
      </w:r>
      <w:r w:rsidR="00587C70">
        <w:t xml:space="preserve">  To establish these objectives, the price variation in both the levels of import and export demand levels are separated into</w:t>
      </w:r>
      <w:r w:rsidR="007B45CB">
        <w:t xml:space="preserve"> </w:t>
      </w:r>
      <w:r w:rsidR="00587C70">
        <w:t>cons</w:t>
      </w:r>
      <w:r w:rsidR="007B45CB">
        <w:t>t</w:t>
      </w:r>
      <w:r w:rsidR="00587C70">
        <w:t xml:space="preserve">ituent elements </w:t>
      </w:r>
      <w:r w:rsidR="007B45CB">
        <w:t>to evaluate the nature of the obtained levels of trade flows and comprehend its reactions to changes in Nigerian prices, Indian prices and the changes in the rate of exchange.</w:t>
      </w:r>
    </w:p>
    <w:p w:rsidR="002D359C" w:rsidRDefault="002D359C" w:rsidP="00580ECF">
      <w:pPr>
        <w:jc w:val="both"/>
      </w:pPr>
    </w:p>
    <w:p w:rsidR="006C0FD4" w:rsidRDefault="006C0FD4" w:rsidP="00580ECF">
      <w:pPr>
        <w:jc w:val="both"/>
      </w:pPr>
      <w:r>
        <w:t xml:space="preserve">The </w:t>
      </w:r>
      <w:r w:rsidRPr="006C0FD4">
        <w:t>other</w:t>
      </w:r>
      <w:r>
        <w:t xml:space="preserve"> part of the study relates the theoretical and empirical research outcomes of trade flows variations in section two.  Section three expresses the nature of the data set used for the empirical test in the study.  It also demonstrates the relative strength of the empirical model in accordance to revealing the related policy shock impacts of the variable in the model.  Section four states</w:t>
      </w:r>
      <w:r w:rsidR="00CF0C29">
        <w:t xml:space="preserve"> theoretical implication of the findings and documented the empirical findings obtained from the shock reactions of the variables in the model.  Section five </w:t>
      </w:r>
      <w:r w:rsidR="00CF0C29" w:rsidRPr="00CF0C29">
        <w:t>draws</w:t>
      </w:r>
      <w:r w:rsidR="00CF0C29">
        <w:t xml:space="preserve"> together the implications for the study and concludes the research work.</w:t>
      </w:r>
    </w:p>
    <w:p w:rsidR="00587C70" w:rsidRDefault="00587C70" w:rsidP="00580ECF">
      <w:pPr>
        <w:jc w:val="both"/>
      </w:pPr>
    </w:p>
    <w:p w:rsidR="00B77D87" w:rsidRPr="00587C70" w:rsidRDefault="00753F01" w:rsidP="00580ECF">
      <w:pPr>
        <w:jc w:val="both"/>
        <w:rPr>
          <w:b/>
        </w:rPr>
      </w:pPr>
      <w:r>
        <w:rPr>
          <w:b/>
        </w:rPr>
        <w:t>2.</w:t>
      </w:r>
      <w:r w:rsidR="00817DEA">
        <w:rPr>
          <w:b/>
        </w:rPr>
        <w:t>1</w:t>
      </w:r>
      <w:r>
        <w:rPr>
          <w:b/>
        </w:rPr>
        <w:t xml:space="preserve"> </w:t>
      </w:r>
      <w:r w:rsidR="00587C70" w:rsidRPr="00587C70">
        <w:rPr>
          <w:b/>
        </w:rPr>
        <w:t>Literature</w:t>
      </w:r>
      <w:r w:rsidR="00587C70">
        <w:rPr>
          <w:b/>
        </w:rPr>
        <w:t xml:space="preserve"> Review</w:t>
      </w:r>
    </w:p>
    <w:p w:rsidR="00587C70" w:rsidRDefault="009F7B72" w:rsidP="00580ECF">
      <w:pPr>
        <w:jc w:val="both"/>
      </w:pPr>
      <w:r w:rsidRPr="00D82B6F">
        <w:t>Theoretically</w:t>
      </w:r>
      <w:r>
        <w:t xml:space="preserve">, it is suggested that </w:t>
      </w:r>
      <w:r w:rsidR="000116B8">
        <w:t xml:space="preserve">trade liberalization, liberalization of capital flows and increase in cross-border financial transactions amplifies the magnitude and influence of exchange rate movement on other key macroeconomic variables that are trade related.  </w:t>
      </w:r>
      <w:r w:rsidR="009F292E">
        <w:t xml:space="preserve">But Clark, Tamirisa, Wei, Sadikov and Zeng (2004) suggested that theoretically, there are no clearly defined relationship between the rate of exchange volatility and the levels of trade flows depends on a </w:t>
      </w:r>
      <w:r w:rsidR="00E8172A">
        <w:t>number of specific assumptions and may not hold.  This view cannot hold</w:t>
      </w:r>
      <w:r w:rsidR="009F292E">
        <w:t xml:space="preserve"> </w:t>
      </w:r>
      <w:r w:rsidR="00E8172A">
        <w:t xml:space="preserve">where the empirical model is a general equilibrium since other variables in the model change, with changes in the rate of exchange.  </w:t>
      </w:r>
      <w:r w:rsidR="009A7C63">
        <w:t xml:space="preserve">Obviously, in countries where exchange rate volatility impacts of trade flows, </w:t>
      </w:r>
      <w:r w:rsidR="000116B8">
        <w:t>the increasing use of financial hedging instruments were noticed to reduce the impact of the vulnerability of trade to exchange rate volatility</w:t>
      </w:r>
      <w:r>
        <w:t xml:space="preserve"> (</w:t>
      </w:r>
      <w:r w:rsidR="0022757A">
        <w:t xml:space="preserve">Edward, 1999; </w:t>
      </w:r>
      <w:r w:rsidR="000116B8">
        <w:t>Wei, 1999;</w:t>
      </w:r>
      <w:r w:rsidR="0022757A">
        <w:t xml:space="preserve"> Engel, and Wang, 2007</w:t>
      </w:r>
      <w:r>
        <w:t>)</w:t>
      </w:r>
      <w:r w:rsidR="000116B8">
        <w:t>.</w:t>
      </w:r>
    </w:p>
    <w:p w:rsidR="009F7B72" w:rsidRDefault="009F7B72" w:rsidP="00580ECF">
      <w:pPr>
        <w:jc w:val="both"/>
      </w:pPr>
    </w:p>
    <w:p w:rsidR="00C44550" w:rsidRPr="00A42ABF" w:rsidRDefault="009F292E" w:rsidP="00580ECF">
      <w:pPr>
        <w:jc w:val="both"/>
      </w:pPr>
      <w:r>
        <w:t>To justify these views, Clark, Tamirisa, Wei, Sadikov and Zeng (2004) c</w:t>
      </w:r>
      <w:r w:rsidR="00D82B6F">
        <w:t>onsider</w:t>
      </w:r>
      <w:r>
        <w:t>ed</w:t>
      </w:r>
      <w:r w:rsidR="00D82B6F">
        <w:t xml:space="preserve"> the impact of exchange rate volatility on world trade, </w:t>
      </w:r>
      <w:r>
        <w:t xml:space="preserve"> and </w:t>
      </w:r>
      <w:r w:rsidR="00D82B6F">
        <w:t xml:space="preserve">reveal that new phenomenon in international trade and finance shows that the levels of exchange rate volatility has hiked </w:t>
      </w:r>
      <w:r w:rsidR="00261E50">
        <w:t xml:space="preserve">the levels of fluctuations in trade levels.  Increase in the liberalization of capital flows and large increase in the scale of cross-border financial transactions have increased exchange rate movements, that has lead to currency crises in most emerging economies and currencies uncertainty adjustments in Central and Eastern Europe. </w:t>
      </w:r>
    </w:p>
    <w:p w:rsidR="00664EE4" w:rsidRDefault="00664EE4" w:rsidP="00580ECF">
      <w:pPr>
        <w:jc w:val="both"/>
      </w:pPr>
    </w:p>
    <w:p w:rsidR="00817DEA" w:rsidRPr="00A42ABF" w:rsidRDefault="00817DEA" w:rsidP="00580ECF">
      <w:pPr>
        <w:jc w:val="both"/>
      </w:pPr>
    </w:p>
    <w:p w:rsidR="00664EE4" w:rsidRPr="00A42ABF" w:rsidRDefault="00664EE4" w:rsidP="00580ECF">
      <w:pPr>
        <w:jc w:val="both"/>
      </w:pPr>
    </w:p>
    <w:p w:rsidR="00664EE4" w:rsidRDefault="00817DEA" w:rsidP="00580ECF">
      <w:pPr>
        <w:jc w:val="both"/>
        <w:rPr>
          <w:b/>
        </w:rPr>
      </w:pPr>
      <w:r>
        <w:rPr>
          <w:b/>
        </w:rPr>
        <w:lastRenderedPageBreak/>
        <w:t>2.2</w:t>
      </w:r>
      <w:r w:rsidR="00753F01">
        <w:rPr>
          <w:b/>
        </w:rPr>
        <w:t xml:space="preserve"> </w:t>
      </w:r>
      <w:r w:rsidR="003C4ED5" w:rsidRPr="007B45CB">
        <w:rPr>
          <w:b/>
        </w:rPr>
        <w:t>Empirical Literature</w:t>
      </w:r>
    </w:p>
    <w:p w:rsidR="00123906" w:rsidRDefault="00123906" w:rsidP="00580ECF">
      <w:pPr>
        <w:jc w:val="both"/>
      </w:pPr>
      <w:r>
        <w:t xml:space="preserve">Examining the volatility of the rates of exchange and its effects on trade flows in a developing </w:t>
      </w:r>
      <w:r w:rsidR="001B04B4">
        <w:t>and</w:t>
      </w:r>
      <w:r>
        <w:t xml:space="preserve"> developed country</w:t>
      </w:r>
      <w:r w:rsidR="001B04B4">
        <w:t xml:space="preserve"> trade relationship</w:t>
      </w:r>
      <w:r>
        <w:t xml:space="preserve">, Vergil (2002) followed </w:t>
      </w:r>
      <w:r w:rsidR="001B04B4">
        <w:t xml:space="preserve">Kenen and Rodrik (1986) and Thursby and Thursby (1993) in order to generate the generalized autoregressive conditional heteroscedastic GARCH to make up for the measure of exchange rate volatility.  To test the empirical relationship of exchange rate volatility and trade flows, he followed Johansen (1991) </w:t>
      </w:r>
      <w:r>
        <w:t xml:space="preserve">cointegration and error correction mechanism to investigate the short-run dynamics </w:t>
      </w:r>
      <w:r w:rsidR="001B04B4">
        <w:t xml:space="preserve">impact </w:t>
      </w:r>
      <w:r>
        <w:t>of the association between the</w:t>
      </w:r>
      <w:r w:rsidR="001B04B4">
        <w:t xml:space="preserve"> </w:t>
      </w:r>
      <w:r>
        <w:t>se</w:t>
      </w:r>
      <w:r w:rsidR="001B04B4">
        <w:t>lected</w:t>
      </w:r>
      <w:r>
        <w:t xml:space="preserve"> macroeconomic variables</w:t>
      </w:r>
      <w:r w:rsidR="001B04B4">
        <w:t xml:space="preserve"> in the model</w:t>
      </w:r>
      <w:r>
        <w:t>.  He observed that the real exchange rate volatility variable has a significant negative effect on real exports.</w:t>
      </w:r>
    </w:p>
    <w:p w:rsidR="00C44550" w:rsidRPr="00A42ABF" w:rsidRDefault="00123906" w:rsidP="00580ECF">
      <w:pPr>
        <w:jc w:val="both"/>
      </w:pPr>
      <w:r>
        <w:t xml:space="preserve"> </w:t>
      </w:r>
    </w:p>
    <w:p w:rsidR="003F56EA" w:rsidRDefault="00CB1948" w:rsidP="00580ECF">
      <w:pPr>
        <w:jc w:val="both"/>
      </w:pPr>
      <w:r>
        <w:t>To empirically evaluate the bilateral trade elasticities between an advanced and a developing country, Fullerton and sprinkle (2005) applied an error correction approach that allows imports and exports to adjust over time to changes other macroeconomic variables in the model that influence their demand behaviours.  This technique permitted the joint assessment of the long-run determinants and the short-run dynamic adjustments to predict the nature of the investigated trade patterns.  They reveal</w:t>
      </w:r>
      <w:r w:rsidR="009E075A">
        <w:t>ed</w:t>
      </w:r>
      <w:r>
        <w:t xml:space="preserve"> that </w:t>
      </w:r>
      <w:r w:rsidR="009E075A">
        <w:t xml:space="preserve">the levels of exports and imports in these countries react to </w:t>
      </w:r>
      <w:r w:rsidR="00B64491">
        <w:t xml:space="preserve">heterogeneous variation in domestic price, foreign prices and the rates of exchange.  The short-run changes in the advanced country imports in relation to the developing country trade flows were notice to be sensitive to income changes than to price changes.  While changes in the advanced countries exports to the levels of trade flows in the developing countries due to price changes were most likely equal to those associated with income shocks in the developing country in the short-run.  In these relationships, the income effect took </w:t>
      </w:r>
      <w:r w:rsidR="00B64491" w:rsidRPr="00B64491">
        <w:t>preeminence</w:t>
      </w:r>
      <w:r w:rsidR="00B64491">
        <w:t xml:space="preserve"> in the long-run.</w:t>
      </w:r>
      <w:r>
        <w:t xml:space="preserve"> </w:t>
      </w:r>
    </w:p>
    <w:p w:rsidR="007B45CB" w:rsidRDefault="007B45CB" w:rsidP="00580ECF">
      <w:pPr>
        <w:jc w:val="both"/>
      </w:pPr>
    </w:p>
    <w:p w:rsidR="00B64491" w:rsidRDefault="00003FEB" w:rsidP="00580ECF">
      <w:pPr>
        <w:jc w:val="both"/>
      </w:pPr>
      <w:r>
        <w:t xml:space="preserve">Considering the volatility of international trade flows and the levels of exchange rate uncertainty, </w:t>
      </w:r>
      <w:r w:rsidRPr="00A42ABF">
        <w:t>Baum and Caglayan (2009)</w:t>
      </w:r>
      <w:r>
        <w:t xml:space="preserve"> ado</w:t>
      </w:r>
      <w:r w:rsidRPr="00003FEB">
        <w:t>pted</w:t>
      </w:r>
      <w:r>
        <w:t xml:space="preserve"> the bivariate GARCH-in-mean (GARCH-M), </w:t>
      </w:r>
      <w:r w:rsidRPr="00003FEB">
        <w:t>statistical</w:t>
      </w:r>
      <w:r>
        <w:t xml:space="preserve"> results observed</w:t>
      </w:r>
      <w:r w:rsidR="006C0FD4">
        <w:t>,</w:t>
      </w:r>
      <w:r>
        <w:t xml:space="preserve"> showed that exchange rate uncertainty has a consistent positive and significant effect on the levels of volatility in bilateral trade flows which </w:t>
      </w:r>
      <w:r w:rsidR="006C0FD4">
        <w:t>do</w:t>
      </w:r>
      <w:r>
        <w:t>e</w:t>
      </w:r>
      <w:r w:rsidR="006C0FD4">
        <w:t>s</w:t>
      </w:r>
      <w:r>
        <w:t xml:space="preserve"> not necessarily affect the volume of trade in the advanced countries studies.</w:t>
      </w:r>
      <w:r w:rsidR="00D82B6F">
        <w:t xml:space="preserve">  </w:t>
      </w:r>
      <w:r w:rsidR="00D82B6F" w:rsidRPr="00A42ABF">
        <w:t>Baum and Caglayan (2009) empirical evidence showed that exchange rate volatility produce a consistent positive and significant effect which influences the levels of volatility of bilateral trade flows between countries.  Also, they disclosed that exchange volatility does not affect the levels of trade flows in major industrialized economies.  This result was closely linked to Baum, Caglayan and Ozkan (2004) that specified a nonlinear empirical relationship between the variables in the model and observed that the effect of exchange rate volatility on trade flows is positive and ensures interwoven complexities.</w:t>
      </w:r>
      <w:r w:rsidR="00D82B6F">
        <w:t xml:space="preserve">  </w:t>
      </w:r>
      <w:r w:rsidR="00B64491" w:rsidRPr="00A42ABF">
        <w:t>Baum and Caglayan (2009) affirmed that results from related studies were inconclusive because they were generally sensitive to the choices of sample period, model specification, forms of proxies for exchange rate volatility and countries particular economic characteristics (Clark, 1973; Baron, 1976; Cushman, 1983; Franke, 1991; Sercu and Vanhulle, 1992; Bacchetta and Van Wincoop, 2000; Barkoulas et al., 2002; Obstfeld and Rogoff, 2003).</w:t>
      </w:r>
    </w:p>
    <w:p w:rsidR="00B45905" w:rsidRDefault="00B45905" w:rsidP="00580ECF">
      <w:pPr>
        <w:jc w:val="both"/>
      </w:pPr>
    </w:p>
    <w:p w:rsidR="00B45905" w:rsidRPr="00A42ABF" w:rsidRDefault="00B45905" w:rsidP="00580ECF">
      <w:pPr>
        <w:jc w:val="both"/>
      </w:pPr>
      <w:r>
        <w:t>Huchet-Boourdon and Korinek (2011)</w:t>
      </w:r>
      <w:r w:rsidR="000E159D">
        <w:t xml:space="preserve"> studied the relationship between the Asian power, China, the Euro area and the United State with close insights from the agriculture, </w:t>
      </w:r>
      <w:r w:rsidR="000E159D">
        <w:lastRenderedPageBreak/>
        <w:t>manufacturing and mining sectors.  They suggested that fluctuation</w:t>
      </w:r>
      <w:r w:rsidR="00213DC2">
        <w:t xml:space="preserve"> in the rate of exchange is </w:t>
      </w:r>
      <w:r w:rsidR="000E159D">
        <w:t xml:space="preserve">slightly </w:t>
      </w:r>
      <w:r w:rsidR="00213DC2">
        <w:t xml:space="preserve">linked to trade deficits or surpluses.   </w:t>
      </w:r>
    </w:p>
    <w:p w:rsidR="003F56EA" w:rsidRPr="0022757A" w:rsidRDefault="003F56EA" w:rsidP="00580ECF">
      <w:pPr>
        <w:jc w:val="both"/>
      </w:pPr>
    </w:p>
    <w:p w:rsidR="0056024A" w:rsidRPr="00A42ABF" w:rsidRDefault="00D846E2" w:rsidP="00580ECF">
      <w:pPr>
        <w:jc w:val="both"/>
      </w:pPr>
      <w:r w:rsidRPr="00753F01">
        <w:rPr>
          <w:b/>
        </w:rPr>
        <w:t xml:space="preserve">3. </w:t>
      </w:r>
      <w:r w:rsidR="0056024A" w:rsidRPr="00753F01">
        <w:rPr>
          <w:b/>
        </w:rPr>
        <w:t>Methodology</w:t>
      </w:r>
    </w:p>
    <w:p w:rsidR="007368AA" w:rsidRPr="00A42ABF" w:rsidRDefault="00D846E2" w:rsidP="00580ECF">
      <w:pPr>
        <w:jc w:val="both"/>
      </w:pPr>
      <w:r w:rsidRPr="00753F01">
        <w:rPr>
          <w:b/>
        </w:rPr>
        <w:t xml:space="preserve">3.1 </w:t>
      </w:r>
      <w:r w:rsidR="007368AA" w:rsidRPr="00753F01">
        <w:rPr>
          <w:b/>
        </w:rPr>
        <w:t>Data</w:t>
      </w:r>
    </w:p>
    <w:p w:rsidR="00E06F0E" w:rsidRDefault="0056024A" w:rsidP="00580ECF">
      <w:pPr>
        <w:jc w:val="both"/>
      </w:pPr>
      <w:r w:rsidRPr="00A42ABF">
        <w:t xml:space="preserve">We obtained annual data on bilateral aggregate real exports, </w:t>
      </w:r>
      <w:r w:rsidR="00BB5CD3" w:rsidRPr="00A42ABF">
        <w:t>real import and real GDP from the IMF’s Directions of Trade Statistics (DOTS) and export price deflators, consumer price indices and exchange rate from the IMF’s International Financial Statistics (IFS).</w:t>
      </w:r>
      <w:r w:rsidR="001A4CB6">
        <w:t xml:space="preserve">  </w:t>
      </w:r>
      <w:r w:rsidR="00E06F0E" w:rsidRPr="00A42ABF">
        <w:t>In order t</w:t>
      </w:r>
      <w:r w:rsidR="00BB5CD3" w:rsidRPr="00A42ABF">
        <w:t>o obtain</w:t>
      </w:r>
      <w:r w:rsidR="00E06F0E" w:rsidRPr="00A42ABF">
        <w:t xml:space="preserve"> proxies for exchange rate volatility a</w:t>
      </w:r>
      <w:r w:rsidR="001A4CB6">
        <w:t xml:space="preserve">nd trade flows, we adopted a </w:t>
      </w:r>
      <w:r w:rsidR="00E06F0E" w:rsidRPr="00A42ABF">
        <w:t>variance evaluation system for the real exchange rate, trade flow, real import, real export and real GDP data.  This technique allows us to generate internally consistent conditional variances of this data set that represented their specified volatility.</w:t>
      </w:r>
    </w:p>
    <w:p w:rsidR="001A4CB6" w:rsidRPr="00A42ABF" w:rsidRDefault="001A4CB6" w:rsidP="00580ECF">
      <w:pPr>
        <w:jc w:val="both"/>
      </w:pPr>
    </w:p>
    <w:p w:rsidR="00E06F0E" w:rsidRPr="001A4CB6" w:rsidRDefault="001A4CB6" w:rsidP="00580ECF">
      <w:pPr>
        <w:jc w:val="both"/>
        <w:rPr>
          <w:b/>
        </w:rPr>
      </w:pPr>
      <w:r w:rsidRPr="001A4CB6">
        <w:rPr>
          <w:b/>
        </w:rPr>
        <w:t xml:space="preserve">3.1.2 </w:t>
      </w:r>
      <w:r w:rsidR="007368AA" w:rsidRPr="001A4CB6">
        <w:rPr>
          <w:b/>
        </w:rPr>
        <w:t xml:space="preserve">The Dynamic Model </w:t>
      </w:r>
    </w:p>
    <w:p w:rsidR="001E40FB" w:rsidRDefault="007368AA" w:rsidP="00580ECF">
      <w:pPr>
        <w:jc w:val="both"/>
      </w:pPr>
      <w:r w:rsidRPr="00A42ABF">
        <w:t xml:space="preserve">To effectively capture the empirical dynamic </w:t>
      </w:r>
      <w:r w:rsidR="00014AED" w:rsidRPr="00A42ABF">
        <w:t xml:space="preserve">shock </w:t>
      </w:r>
      <w:r w:rsidRPr="00A42ABF">
        <w:t xml:space="preserve">behaviour of the relationship </w:t>
      </w:r>
      <w:r w:rsidR="00014AED" w:rsidRPr="00A42ABF">
        <w:t xml:space="preserve">of bilateral trade </w:t>
      </w:r>
      <w:r w:rsidRPr="00A42ABF">
        <w:t xml:space="preserve">between </w:t>
      </w:r>
      <w:r w:rsidR="00014AED" w:rsidRPr="00A42ABF">
        <w:t xml:space="preserve">Nigeria and India considering the levels of </w:t>
      </w:r>
      <w:r w:rsidRPr="00A42ABF">
        <w:t>exchange rate volatility and trade flows</w:t>
      </w:r>
      <w:r w:rsidR="00014AED" w:rsidRPr="00A42ABF">
        <w:t>.</w:t>
      </w:r>
      <w:r w:rsidRPr="00A42ABF">
        <w:t xml:space="preserve"> </w:t>
      </w:r>
      <w:r w:rsidR="00014AED" w:rsidRPr="00A42ABF">
        <w:t xml:space="preserve"> We </w:t>
      </w:r>
      <w:r w:rsidRPr="00A42ABF">
        <w:t xml:space="preserve">reflected on the effect of the retard influence of the independent variables in the model by considering </w:t>
      </w:r>
      <w:r w:rsidR="00CC749F" w:rsidRPr="00A42ABF">
        <w:t xml:space="preserve">shock impact of </w:t>
      </w:r>
      <w:r w:rsidRPr="00A42ABF">
        <w:t>their lags obtained from the results of the lag length criteria test.</w:t>
      </w:r>
      <w:r w:rsidR="001E40FB" w:rsidRPr="00A42ABF">
        <w:t xml:space="preserve">  Also, </w:t>
      </w:r>
      <w:r w:rsidR="00014AED" w:rsidRPr="00A42ABF">
        <w:t xml:space="preserve">it </w:t>
      </w:r>
      <w:r w:rsidR="001E40FB" w:rsidRPr="00A42ABF">
        <w:t>i</w:t>
      </w:r>
      <w:r w:rsidR="00014AED" w:rsidRPr="00A42ABF">
        <w:t>s</w:t>
      </w:r>
      <w:r w:rsidR="001E40FB" w:rsidRPr="00A42ABF">
        <w:t xml:space="preserve"> necessary to examine the dynamics of the dependent variable as a result of a transaction delay linked to the nature of the process of trade flow.</w:t>
      </w:r>
    </w:p>
    <w:p w:rsidR="001A4CB6" w:rsidRPr="00A42ABF" w:rsidRDefault="001A4CB6" w:rsidP="00580ECF">
      <w:pPr>
        <w:jc w:val="both"/>
      </w:pPr>
    </w:p>
    <w:p w:rsidR="00557F40" w:rsidRPr="00A42ABF" w:rsidRDefault="00557F40" w:rsidP="00580ECF">
      <w:pPr>
        <w:jc w:val="both"/>
      </w:pPr>
      <w:r w:rsidRPr="00A42ABF">
        <w:t>Fundamentally, the long-run levels of imports are logically connected to the levels of aggregate domestic income, the foreign currency price of the imported commodity, the price of the domestic manufactured goods competitive with commodity imports</w:t>
      </w:r>
      <w:r w:rsidR="00392E8C" w:rsidRPr="00A42ABF">
        <w:t xml:space="preserve"> and the real bilateral exchange rate</w:t>
      </w:r>
      <w:r w:rsidRPr="00A42ABF">
        <w:t xml:space="preserve"> of the importing country.  </w:t>
      </w:r>
      <w:r w:rsidR="00392E8C" w:rsidRPr="00A42ABF">
        <w:t>Consequently, the long-run export quantity demanded will be related to the levels of economic activity, the internationally accepted price of export, the price of export substitute goods and the rate of exchange, in the exporting country (</w:t>
      </w:r>
      <w:r w:rsidR="000318D2" w:rsidRPr="00A42ABF">
        <w:t>Sawyer and Sprinkle, 1996; Fullerton and Sprinkle, 2005</w:t>
      </w:r>
      <w:r w:rsidR="00392E8C" w:rsidRPr="00A42ABF">
        <w:t>).</w:t>
      </w:r>
    </w:p>
    <w:p w:rsidR="000318D2" w:rsidRPr="00A42ABF" w:rsidRDefault="000318D2" w:rsidP="00580ECF">
      <w:pPr>
        <w:jc w:val="both"/>
      </w:pPr>
    </w:p>
    <w:p w:rsidR="003C578C" w:rsidRDefault="003D6A28" w:rsidP="00580ECF">
      <w:pPr>
        <w:jc w:val="both"/>
      </w:pPr>
      <w:r w:rsidRPr="002802A9">
        <w:t>Practically</w:t>
      </w:r>
      <w:r w:rsidRPr="00A42ABF">
        <w:t xml:space="preserve">, we assume that the demand function is homogeneous of degree zero in price, in which case the levels of import and export prices can be defined as a set of relative prices </w:t>
      </w:r>
      <w:r w:rsidR="00BA4F4F" w:rsidRPr="00817DEA">
        <w:t>of domestic import prices, domestic export prices and the domestic rate of exchange in both countries (Fullerton and Sprinkle, 2005)</w:t>
      </w:r>
      <w:r w:rsidR="00817DEA" w:rsidRPr="00817DEA">
        <w:t>.</w:t>
      </w:r>
      <w:r w:rsidR="00580ECF">
        <w:t xml:space="preserve"> </w:t>
      </w:r>
      <w:r w:rsidR="00817DEA">
        <w:t xml:space="preserve"> </w:t>
      </w:r>
      <w:r w:rsidRPr="00A42ABF">
        <w:t xml:space="preserve">Although homogeneity may not fully capture a steady process, </w:t>
      </w:r>
      <w:r w:rsidR="005D2CCF" w:rsidRPr="00A42ABF">
        <w:t xml:space="preserve">it </w:t>
      </w:r>
      <w:r w:rsidR="0011350B">
        <w:t xml:space="preserve">absence </w:t>
      </w:r>
      <w:r w:rsidR="005D2CCF" w:rsidRPr="00A42ABF">
        <w:t xml:space="preserve">permits </w:t>
      </w:r>
      <w:r w:rsidR="0011350B">
        <w:t xml:space="preserve">some levels of </w:t>
      </w:r>
      <w:r w:rsidR="005D2CCF" w:rsidRPr="00A42ABF">
        <w:t>heterogeneity (Murray and Ginman, 1976; Fullerton and Sprinkle, 2005).</w:t>
      </w:r>
      <w:r w:rsidR="00580ECF">
        <w:t xml:space="preserve">  </w:t>
      </w:r>
      <w:r w:rsidR="003C578C">
        <w:t>The basic models to be analyzed are in this the following form:</w:t>
      </w:r>
    </w:p>
    <w:p w:rsidR="00817DEA" w:rsidRDefault="00817DEA" w:rsidP="00580ECF">
      <w:pPr>
        <w:jc w:val="both"/>
      </w:pPr>
    </w:p>
    <w:p w:rsidR="003C578C" w:rsidRDefault="003C578C" w:rsidP="00580ECF">
      <w:pPr>
        <w:jc w:val="both"/>
      </w:pPr>
      <w:r>
        <w:t xml:space="preserve"> </w:t>
      </w:r>
      <w:r w:rsidR="00FA2FA7" w:rsidRPr="003C578C">
        <w:rPr>
          <w:position w:val="-30"/>
        </w:rPr>
        <w:object w:dxaOrig="83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6.75pt" o:ole="">
            <v:imagedata r:id="rId7" o:title=""/>
          </v:shape>
          <o:OLEObject Type="Embed" ProgID="Equation.3" ShapeID="_x0000_i1025" DrawAspect="Content" ObjectID="_1417087360" r:id="rId8"/>
        </w:object>
      </w:r>
    </w:p>
    <w:p w:rsidR="0027727B" w:rsidRDefault="0027727B" w:rsidP="00580ECF">
      <w:pPr>
        <w:jc w:val="both"/>
      </w:pPr>
    </w:p>
    <w:p w:rsidR="0027727B" w:rsidRDefault="00FA2FA7" w:rsidP="00580ECF">
      <w:pPr>
        <w:jc w:val="both"/>
      </w:pPr>
      <w:r w:rsidRPr="00AB501F">
        <w:rPr>
          <w:position w:val="-30"/>
        </w:rPr>
        <w:object w:dxaOrig="8419" w:dyaOrig="720">
          <v:shape id="_x0000_i1026" type="#_x0000_t75" style="width:421.5pt;height:36.75pt" o:ole="">
            <v:imagedata r:id="rId9" o:title=""/>
          </v:shape>
          <o:OLEObject Type="Embed" ProgID="Equation.3" ShapeID="_x0000_i1026" DrawAspect="Content" ObjectID="_1417087361" r:id="rId10"/>
        </w:object>
      </w:r>
    </w:p>
    <w:p w:rsidR="00817DEA" w:rsidRDefault="00817DEA" w:rsidP="00580ECF">
      <w:pPr>
        <w:jc w:val="both"/>
      </w:pPr>
    </w:p>
    <w:p w:rsidR="00817DEA" w:rsidRDefault="00817DEA" w:rsidP="00580ECF">
      <w:pPr>
        <w:jc w:val="both"/>
      </w:pPr>
    </w:p>
    <w:p w:rsidR="00663F94" w:rsidRDefault="00663F94" w:rsidP="00580ECF">
      <w:pPr>
        <w:jc w:val="both"/>
      </w:pPr>
      <w:r>
        <w:lastRenderedPageBreak/>
        <w:t>Where;</w:t>
      </w:r>
    </w:p>
    <w:p w:rsidR="00663F94" w:rsidRDefault="00663F94" w:rsidP="00580ECF">
      <w:pPr>
        <w:jc w:val="both"/>
      </w:pPr>
      <w:r>
        <w:t>NM=Total Volume of imports by Nigeria from India</w:t>
      </w:r>
    </w:p>
    <w:p w:rsidR="00663F94" w:rsidRDefault="00663F94" w:rsidP="00580ECF">
      <w:pPr>
        <w:jc w:val="both"/>
      </w:pPr>
      <w:r>
        <w:t>NX=Total Volume of exports by Nigeria to India</w:t>
      </w:r>
    </w:p>
    <w:p w:rsidR="00FC38C8" w:rsidRDefault="00FC38C8" w:rsidP="00580ECF">
      <w:pPr>
        <w:jc w:val="both"/>
      </w:pPr>
      <w:r>
        <w:t>NGDP=Nigeria GDP</w:t>
      </w:r>
    </w:p>
    <w:p w:rsidR="00FC38C8" w:rsidRDefault="00FC38C8" w:rsidP="00580ECF">
      <w:pPr>
        <w:jc w:val="both"/>
      </w:pPr>
      <w:r>
        <w:t>IGDP=India GDP</w:t>
      </w:r>
    </w:p>
    <w:p w:rsidR="00FA2FA7" w:rsidRDefault="00FA2FA7" w:rsidP="00580ECF">
      <w:pPr>
        <w:jc w:val="both"/>
      </w:pPr>
      <w:r>
        <w:t>NWP=Nigeria Wholesale Price Index</w:t>
      </w:r>
    </w:p>
    <w:p w:rsidR="00FA2FA7" w:rsidRDefault="00FA2FA7" w:rsidP="00580ECF">
      <w:pPr>
        <w:jc w:val="both"/>
      </w:pPr>
      <w:r>
        <w:t>IWP=India Wholesale Price Index</w:t>
      </w:r>
    </w:p>
    <w:p w:rsidR="00FA2FA7" w:rsidRDefault="00FA2FA7" w:rsidP="00580ECF">
      <w:pPr>
        <w:jc w:val="both"/>
      </w:pPr>
      <w:r>
        <w:t xml:space="preserve">NEXV=Nigeria Exchange Rate Volatility, a measure of the standard deviation of India </w:t>
      </w:r>
      <w:r>
        <w:tab/>
      </w:r>
      <w:r>
        <w:tab/>
        <w:t xml:space="preserve">  rupee per Nigerian Naira. </w:t>
      </w:r>
    </w:p>
    <w:p w:rsidR="00FC38C8" w:rsidRDefault="00FC38C8" w:rsidP="00580ECF">
      <w:pPr>
        <w:jc w:val="both"/>
      </w:pPr>
    </w:p>
    <w:p w:rsidR="0011350B" w:rsidRDefault="00014AED" w:rsidP="00580ECF">
      <w:pPr>
        <w:jc w:val="both"/>
      </w:pPr>
      <w:r w:rsidRPr="00A42ABF">
        <w:t>Therefore, the</w:t>
      </w:r>
      <w:r w:rsidR="00D24368" w:rsidRPr="00A42ABF">
        <w:t xml:space="preserve"> study </w:t>
      </w:r>
      <w:r w:rsidR="000E1BCC" w:rsidRPr="00A42ABF">
        <w:t>analysed the shock effect of exchange rate volatility and trade flows by specifying a VAR model.</w:t>
      </w:r>
    </w:p>
    <w:p w:rsidR="007368AA" w:rsidRPr="00A42ABF" w:rsidRDefault="00D24368" w:rsidP="00580ECF">
      <w:pPr>
        <w:jc w:val="both"/>
      </w:pPr>
      <w:r w:rsidRPr="00A42ABF">
        <w:t xml:space="preserve"> </w:t>
      </w:r>
      <w:r w:rsidR="001E40FB" w:rsidRPr="00A42ABF">
        <w:t xml:space="preserve"> </w:t>
      </w:r>
    </w:p>
    <w:p w:rsidR="002C3832" w:rsidRPr="00A42ABF" w:rsidRDefault="002C3832" w:rsidP="00580ECF">
      <w:pPr>
        <w:jc w:val="both"/>
        <w:rPr>
          <w:b/>
        </w:rPr>
      </w:pPr>
      <w:r w:rsidRPr="00A42ABF">
        <w:rPr>
          <w:b/>
        </w:rPr>
        <w:t>3.</w:t>
      </w:r>
      <w:r w:rsidR="00D846E2">
        <w:rPr>
          <w:b/>
        </w:rPr>
        <w:t>2</w:t>
      </w:r>
      <w:r w:rsidRPr="00A42ABF">
        <w:rPr>
          <w:b/>
        </w:rPr>
        <w:t xml:space="preserve"> Structural VAR model: Based shock measures</w:t>
      </w:r>
    </w:p>
    <w:p w:rsidR="002C3832" w:rsidRPr="00A42ABF" w:rsidRDefault="002C3832" w:rsidP="00580ECF">
      <w:pPr>
        <w:jc w:val="both"/>
      </w:pPr>
    </w:p>
    <w:p w:rsidR="002C3832" w:rsidRPr="00A42ABF" w:rsidRDefault="002C3832" w:rsidP="00580ECF">
      <w:pPr>
        <w:jc w:val="both"/>
        <w:rPr>
          <w:b/>
        </w:rPr>
      </w:pPr>
      <w:r w:rsidRPr="00A42ABF">
        <w:rPr>
          <w:b/>
        </w:rPr>
        <w:t>3.</w:t>
      </w:r>
      <w:r w:rsidR="00D846E2">
        <w:rPr>
          <w:b/>
        </w:rPr>
        <w:t>2</w:t>
      </w:r>
      <w:r w:rsidRPr="00A42ABF">
        <w:rPr>
          <w:b/>
        </w:rPr>
        <w:t>.1 Basic frameworks</w:t>
      </w:r>
    </w:p>
    <w:p w:rsidR="002C3832" w:rsidRPr="00A42ABF" w:rsidRDefault="002C3832" w:rsidP="00580ECF">
      <w:pPr>
        <w:jc w:val="both"/>
      </w:pPr>
    </w:p>
    <w:p w:rsidR="002C3832" w:rsidRPr="00A42ABF" w:rsidRDefault="002C3832" w:rsidP="00580ECF">
      <w:pPr>
        <w:jc w:val="both"/>
      </w:pPr>
      <w:r w:rsidRPr="00A42ABF">
        <w:t xml:space="preserve">This part of the study evaluates the shock impacts and responses of </w:t>
      </w:r>
      <w:r w:rsidR="00A42ABF" w:rsidRPr="00A42ABF">
        <w:t>trade</w:t>
      </w:r>
      <w:r w:rsidRPr="00A42ABF">
        <w:t xml:space="preserve"> flow no macroeconomic variable fundamental shocks.  We estimate a structural VAR model to an autoregressive system composed of four variables in four lags.  Since the variables in the model follow a stationary stochastic process that responds to two types of non-autocorrelated orthogonal shocks:</w:t>
      </w:r>
    </w:p>
    <w:p w:rsidR="002C3832" w:rsidRPr="00A42ABF" w:rsidRDefault="002C3832" w:rsidP="00580ECF">
      <w:pPr>
        <w:numPr>
          <w:ilvl w:val="0"/>
          <w:numId w:val="7"/>
        </w:numPr>
        <w:spacing w:before="120" w:after="120"/>
        <w:jc w:val="both"/>
      </w:pPr>
      <w:r w:rsidRPr="00A42ABF">
        <w:t xml:space="preserve">Demand shocks which are due to transitory structural error and </w:t>
      </w:r>
    </w:p>
    <w:p w:rsidR="002C3832" w:rsidRPr="00A42ABF" w:rsidRDefault="002C3832" w:rsidP="00580ECF">
      <w:pPr>
        <w:numPr>
          <w:ilvl w:val="0"/>
          <w:numId w:val="7"/>
        </w:numPr>
        <w:spacing w:before="120" w:after="120"/>
        <w:jc w:val="both"/>
      </w:pPr>
      <w:r w:rsidRPr="00A42ABF">
        <w:t>Self induced shocks which are most likely due to parameter disturbances.</w:t>
      </w:r>
    </w:p>
    <w:p w:rsidR="002C3832" w:rsidRPr="00A42ABF" w:rsidRDefault="002C3832" w:rsidP="00580ECF">
      <w:pPr>
        <w:spacing w:before="120" w:after="120"/>
        <w:jc w:val="both"/>
      </w:pPr>
      <w:r w:rsidRPr="00A42ABF">
        <w:tab/>
        <w:t>The structural model can be given a moving average representation as follows:</w:t>
      </w:r>
    </w:p>
    <w:p w:rsidR="002C3832" w:rsidRPr="00A42ABF" w:rsidRDefault="002C3832" w:rsidP="00580ECF">
      <w:pPr>
        <w:spacing w:before="120" w:after="120"/>
        <w:jc w:val="both"/>
      </w:pPr>
      <w:r w:rsidRPr="00A42ABF">
        <w:tab/>
      </w:r>
      <w:r w:rsidRPr="00A42ABF">
        <w:tab/>
      </w:r>
      <w:r w:rsidR="0027727B" w:rsidRPr="00A42ABF">
        <w:rPr>
          <w:position w:val="-28"/>
        </w:rPr>
        <w:object w:dxaOrig="6759" w:dyaOrig="680">
          <v:shape id="_x0000_i1027" type="#_x0000_t75" style="width:339pt;height:33pt" o:ole="">
            <v:imagedata r:id="rId11" o:title=""/>
          </v:shape>
          <o:OLEObject Type="Embed" ProgID="Equation.3" ShapeID="_x0000_i1027" DrawAspect="Content" ObjectID="_1417087362" r:id="rId12"/>
        </w:object>
      </w:r>
    </w:p>
    <w:p w:rsidR="002C3832" w:rsidRPr="00A42ABF" w:rsidRDefault="002C3832" w:rsidP="00580ECF">
      <w:pPr>
        <w:spacing w:before="120" w:after="120"/>
        <w:jc w:val="both"/>
      </w:pPr>
      <w:r w:rsidRPr="00A42ABF">
        <w:t>Where;</w:t>
      </w:r>
    </w:p>
    <w:p w:rsidR="002C3832" w:rsidRPr="00A42ABF" w:rsidRDefault="002C3832" w:rsidP="00580ECF">
      <w:pPr>
        <w:spacing w:before="120" w:after="120"/>
        <w:jc w:val="both"/>
      </w:pPr>
      <w:r w:rsidRPr="00A42ABF">
        <w:tab/>
      </w:r>
      <w:r w:rsidRPr="00A42ABF">
        <w:tab/>
      </w:r>
      <w:r w:rsidRPr="00A42ABF">
        <w:rPr>
          <w:position w:val="-122"/>
        </w:rPr>
        <w:object w:dxaOrig="1320" w:dyaOrig="2560">
          <v:shape id="_x0000_i1028" type="#_x0000_t75" style="width:111.75pt;height:87pt" o:ole="">
            <v:imagedata r:id="rId13" o:title=""/>
          </v:shape>
          <o:OLEObject Type="Embed" ProgID="Equation.3" ShapeID="_x0000_i1028" DrawAspect="Content" ObjectID="_1417087363" r:id="rId14"/>
        </w:object>
      </w:r>
      <w:r w:rsidRPr="00A42ABF">
        <w:t>and</w:t>
      </w:r>
      <w:r w:rsidRPr="00A42ABF">
        <w:rPr>
          <w:position w:val="-128"/>
        </w:rPr>
        <w:object w:dxaOrig="1160" w:dyaOrig="2680">
          <v:shape id="_x0000_i1029" type="#_x0000_t75" style="width:79.5pt;height:90pt" o:ole="">
            <v:imagedata r:id="rId15" o:title=""/>
          </v:shape>
          <o:OLEObject Type="Embed" ProgID="Equation.3" ShapeID="_x0000_i1029" DrawAspect="Content" ObjectID="_1417087364" r:id="rId16"/>
        </w:object>
      </w:r>
    </w:p>
    <w:p w:rsidR="002C3832" w:rsidRPr="00A42ABF" w:rsidRDefault="002C3832" w:rsidP="00580ECF">
      <w:pPr>
        <w:spacing w:before="120" w:after="120"/>
        <w:jc w:val="both"/>
      </w:pPr>
      <w:r w:rsidRPr="00A42ABF">
        <w:t xml:space="preserve">Are identification procedures that follows Blanchard and Quah (1989) and Hoffmaister and Roldos (1997), further it is assumed that the change in the variables in the model are stationary, and that the parameter disturbance and transitory structural errors, </w:t>
      </w:r>
      <w:r w:rsidRPr="00A42ABF">
        <w:rPr>
          <w:position w:val="-6"/>
        </w:rPr>
        <w:object w:dxaOrig="1020" w:dyaOrig="320">
          <v:shape id="_x0000_i1030" type="#_x0000_t75" style="width:50.25pt;height:15.75pt" o:ole="">
            <v:imagedata r:id="rId17" o:title=""/>
          </v:shape>
          <o:OLEObject Type="Embed" ProgID="Equation.3" ShapeID="_x0000_i1030" DrawAspect="Content" ObjectID="_1417087365" r:id="rId18"/>
        </w:object>
      </w:r>
      <w:r w:rsidRPr="00A42ABF">
        <w:t xml:space="preserve">respectively, are uncorrelated white noise disturbance.  The variance of the structural shocks is normalized so that </w:t>
      </w:r>
    </w:p>
    <w:p w:rsidR="002C3832" w:rsidRPr="00A42ABF" w:rsidRDefault="002C3832" w:rsidP="00580ECF">
      <w:pPr>
        <w:spacing w:before="120" w:after="120"/>
        <w:jc w:val="both"/>
      </w:pPr>
      <w:r w:rsidRPr="00A42ABF">
        <w:tab/>
      </w:r>
      <w:r w:rsidRPr="00A42ABF">
        <w:tab/>
      </w:r>
      <w:r w:rsidRPr="00A42ABF">
        <w:rPr>
          <w:position w:val="-12"/>
        </w:rPr>
        <w:object w:dxaOrig="1180" w:dyaOrig="360">
          <v:shape id="_x0000_i1031" type="#_x0000_t75" style="width:59.25pt;height:18pt" o:ole="">
            <v:imagedata r:id="rId19" o:title=""/>
          </v:shape>
          <o:OLEObject Type="Embed" ProgID="Equation.3" ShapeID="_x0000_i1031" DrawAspect="Content" ObjectID="_1417087366" r:id="rId20"/>
        </w:object>
      </w:r>
    </w:p>
    <w:p w:rsidR="002C3832" w:rsidRPr="00A42ABF" w:rsidRDefault="002C3832" w:rsidP="00580ECF">
      <w:pPr>
        <w:spacing w:before="120" w:after="120"/>
        <w:jc w:val="both"/>
      </w:pPr>
      <w:r w:rsidRPr="00A42ABF">
        <w:t xml:space="preserve">This can be viewed as the identity matrix. </w:t>
      </w:r>
    </w:p>
    <w:p w:rsidR="002C3832" w:rsidRPr="00A42ABF" w:rsidRDefault="002C3832" w:rsidP="00580ECF">
      <w:pPr>
        <w:spacing w:before="120" w:after="120"/>
        <w:jc w:val="both"/>
      </w:pPr>
      <w:r w:rsidRPr="00A42ABF">
        <w:lastRenderedPageBreak/>
        <w:t>To identify this structural model, the autoregressive reduced-form vector autoregression of the model is first estimated:</w:t>
      </w:r>
    </w:p>
    <w:p w:rsidR="002C3832" w:rsidRPr="00A42ABF" w:rsidRDefault="002C3832" w:rsidP="00580ECF">
      <w:pPr>
        <w:spacing w:before="120" w:after="120"/>
        <w:jc w:val="both"/>
      </w:pPr>
      <w:r w:rsidRPr="00A42ABF">
        <w:tab/>
      </w:r>
      <w:r w:rsidRPr="00A42ABF">
        <w:tab/>
      </w:r>
      <w:r w:rsidR="0027727B" w:rsidRPr="00A42ABF">
        <w:rPr>
          <w:position w:val="-14"/>
        </w:rPr>
        <w:object w:dxaOrig="5580" w:dyaOrig="380">
          <v:shape id="_x0000_i1032" type="#_x0000_t75" style="width:279pt;height:18pt" o:ole="">
            <v:imagedata r:id="rId21" o:title=""/>
          </v:shape>
          <o:OLEObject Type="Embed" ProgID="Equation.3" ShapeID="_x0000_i1032" DrawAspect="Content" ObjectID="_1417087367" r:id="rId22"/>
        </w:object>
      </w:r>
    </w:p>
    <w:p w:rsidR="002C3832" w:rsidRPr="00A42ABF" w:rsidRDefault="002C3832" w:rsidP="00580ECF">
      <w:pPr>
        <w:spacing w:before="120" w:after="120"/>
        <w:jc w:val="both"/>
      </w:pPr>
      <w:r w:rsidRPr="00A42ABF">
        <w:t>Where;</w:t>
      </w:r>
    </w:p>
    <w:p w:rsidR="002C3832" w:rsidRPr="00A42ABF" w:rsidRDefault="002C3832" w:rsidP="00580ECF">
      <w:pPr>
        <w:spacing w:before="120" w:after="120"/>
        <w:jc w:val="both"/>
      </w:pPr>
      <w:r w:rsidRPr="00A42ABF">
        <w:rPr>
          <w:position w:val="-12"/>
        </w:rPr>
        <w:object w:dxaOrig="260" w:dyaOrig="360">
          <v:shape id="_x0000_i1033" type="#_x0000_t75" style="width:12.75pt;height:18pt" o:ole="">
            <v:imagedata r:id="rId23" o:title=""/>
          </v:shape>
          <o:OLEObject Type="Embed" ProgID="Equation.3" ShapeID="_x0000_i1033" DrawAspect="Content" ObjectID="_1417087368" r:id="rId24"/>
        </w:object>
      </w:r>
      <w:r w:rsidRPr="00A42ABF">
        <w:t>= vector of estimated residuals</w:t>
      </w:r>
    </w:p>
    <w:p w:rsidR="002C3832" w:rsidRPr="00A42ABF" w:rsidRDefault="002C3832" w:rsidP="00580ECF">
      <w:pPr>
        <w:spacing w:before="120" w:after="120"/>
        <w:jc w:val="both"/>
      </w:pPr>
      <w:r w:rsidRPr="00A42ABF">
        <w:t>q= the number of lags</w:t>
      </w:r>
    </w:p>
    <w:p w:rsidR="002C3832" w:rsidRPr="00A42ABF" w:rsidRDefault="002C3832" w:rsidP="00580ECF">
      <w:pPr>
        <w:spacing w:before="120" w:after="120"/>
        <w:jc w:val="both"/>
      </w:pPr>
      <w:r w:rsidRPr="00A42ABF">
        <w:t>We note that</w:t>
      </w:r>
      <w:r w:rsidRPr="00A42ABF">
        <w:rPr>
          <w:position w:val="-12"/>
        </w:rPr>
        <w:object w:dxaOrig="1280" w:dyaOrig="360">
          <v:shape id="_x0000_i1034" type="#_x0000_t75" style="width:64.5pt;height:18pt" o:ole="">
            <v:imagedata r:id="rId25" o:title=""/>
          </v:shape>
          <o:OLEObject Type="Embed" ProgID="Equation.3" ShapeID="_x0000_i1034" DrawAspect="Content" ObjectID="_1417087369" r:id="rId26"/>
        </w:object>
      </w:r>
      <w:r w:rsidRPr="00A42ABF">
        <w:t>.  Given that the stochastic process is stationary, equation 3.2 may be written as an infinite moving-averge process, (or the moving-average representation of the reduced-form of the model is):</w:t>
      </w:r>
    </w:p>
    <w:p w:rsidR="002C3832" w:rsidRPr="00A42ABF" w:rsidRDefault="002C3832" w:rsidP="00580ECF">
      <w:pPr>
        <w:spacing w:before="120" w:after="120"/>
        <w:jc w:val="both"/>
      </w:pPr>
      <w:r w:rsidRPr="00A42ABF">
        <w:tab/>
      </w:r>
      <w:r w:rsidRPr="00A42ABF">
        <w:tab/>
      </w:r>
      <w:r w:rsidR="0027727B" w:rsidRPr="00A42ABF">
        <w:rPr>
          <w:position w:val="-28"/>
        </w:rPr>
        <w:object w:dxaOrig="6080" w:dyaOrig="680">
          <v:shape id="_x0000_i1035" type="#_x0000_t75" style="width:303.75pt;height:33pt" o:ole="">
            <v:imagedata r:id="rId27" o:title=""/>
          </v:shape>
          <o:OLEObject Type="Embed" ProgID="Equation.3" ShapeID="_x0000_i1035" DrawAspect="Content" ObjectID="_1417087370" r:id="rId28"/>
        </w:object>
      </w:r>
    </w:p>
    <w:p w:rsidR="002C3832" w:rsidRPr="00A42ABF" w:rsidRDefault="002C3832" w:rsidP="00580ECF">
      <w:pPr>
        <w:spacing w:before="120" w:after="120"/>
        <w:jc w:val="both"/>
      </w:pPr>
      <w:r w:rsidRPr="00A42ABF">
        <w:t>Where;</w:t>
      </w:r>
    </w:p>
    <w:p w:rsidR="002C3832" w:rsidRPr="00A42ABF" w:rsidRDefault="002C3832" w:rsidP="00580ECF">
      <w:pPr>
        <w:spacing w:before="120" w:after="120"/>
        <w:jc w:val="both"/>
      </w:pPr>
      <w:r w:rsidRPr="00A42ABF">
        <w:rPr>
          <w:position w:val="-12"/>
        </w:rPr>
        <w:object w:dxaOrig="260" w:dyaOrig="360">
          <v:shape id="_x0000_i1036" type="#_x0000_t75" style="width:12.75pt;height:18pt" o:ole="">
            <v:imagedata r:id="rId29" o:title=""/>
          </v:shape>
          <o:OLEObject Type="Embed" ProgID="Equation.3" ShapeID="_x0000_i1036" DrawAspect="Content" ObjectID="_1417087371" r:id="rId30"/>
        </w:object>
      </w:r>
      <w:r w:rsidRPr="00A42ABF">
        <w:t xml:space="preserve">= vector of estimated reduced-form residuals with variance </w:t>
      </w:r>
      <w:r w:rsidRPr="00A42ABF">
        <w:rPr>
          <w:position w:val="-12"/>
        </w:rPr>
        <w:object w:dxaOrig="1280" w:dyaOrig="360">
          <v:shape id="_x0000_i1037" type="#_x0000_t75" style="width:64.5pt;height:18pt" o:ole="">
            <v:imagedata r:id="rId31" o:title=""/>
          </v:shape>
          <o:OLEObject Type="Embed" ProgID="Equation.3" ShapeID="_x0000_i1037" DrawAspect="Content" ObjectID="_1417087372" r:id="rId32"/>
        </w:object>
      </w:r>
      <w:r w:rsidRPr="00A42ABF">
        <w:t xml:space="preserve"> and the </w:t>
      </w:r>
      <w:r w:rsidRPr="00A42ABF">
        <w:tab/>
        <w:t xml:space="preserve">matrices </w:t>
      </w:r>
    </w:p>
    <w:p w:rsidR="002C3832" w:rsidRPr="00A42ABF" w:rsidRDefault="002C3832" w:rsidP="00580ECF">
      <w:pPr>
        <w:spacing w:before="120" w:after="120"/>
        <w:jc w:val="both"/>
      </w:pPr>
      <w:r w:rsidRPr="00A42ABF">
        <w:rPr>
          <w:position w:val="-14"/>
        </w:rPr>
        <w:object w:dxaOrig="360" w:dyaOrig="400">
          <v:shape id="_x0000_i1038" type="#_x0000_t75" style="width:18pt;height:20.25pt" o:ole="">
            <v:imagedata r:id="rId33" o:title=""/>
          </v:shape>
          <o:OLEObject Type="Embed" ProgID="Equation.3" ShapeID="_x0000_i1038" DrawAspect="Content" ObjectID="_1417087373" r:id="rId34"/>
        </w:object>
      </w:r>
      <w:r w:rsidRPr="00A42ABF">
        <w:t xml:space="preserve">= represent the impulse response functions of shocks to change in the </w:t>
      </w:r>
      <w:r w:rsidRPr="00A42ABF">
        <w:tab/>
        <w:t>dependent and independent (explanatory) variables in the model.</w:t>
      </w:r>
    </w:p>
    <w:p w:rsidR="002C3832" w:rsidRPr="00A42ABF" w:rsidRDefault="002C3832" w:rsidP="00580ECF">
      <w:pPr>
        <w:spacing w:before="120" w:after="120"/>
        <w:jc w:val="both"/>
      </w:pPr>
      <w:r w:rsidRPr="00A42ABF">
        <w:t>The residual of the model’s reduced form are thus, related to the structural residual in the following way:</w:t>
      </w:r>
    </w:p>
    <w:p w:rsidR="002C3832" w:rsidRPr="00A42ABF" w:rsidRDefault="002C3832" w:rsidP="00580ECF">
      <w:pPr>
        <w:spacing w:before="120" w:after="120"/>
        <w:jc w:val="both"/>
      </w:pPr>
      <w:r w:rsidRPr="00A42ABF">
        <w:tab/>
      </w:r>
      <w:r w:rsidRPr="00A42ABF">
        <w:tab/>
      </w:r>
      <w:r w:rsidR="0027727B" w:rsidRPr="00A42ABF">
        <w:rPr>
          <w:position w:val="-12"/>
        </w:rPr>
        <w:object w:dxaOrig="3680" w:dyaOrig="360">
          <v:shape id="_x0000_i1039" type="#_x0000_t75" style="width:185.25pt;height:18pt" o:ole="">
            <v:imagedata r:id="rId35" o:title=""/>
          </v:shape>
          <o:OLEObject Type="Embed" ProgID="Equation.3" ShapeID="_x0000_i1039" DrawAspect="Content" ObjectID="_1417087374" r:id="rId36"/>
        </w:object>
      </w:r>
    </w:p>
    <w:p w:rsidR="002C3832" w:rsidRPr="00A42ABF" w:rsidRDefault="002C3832" w:rsidP="00580ECF">
      <w:pPr>
        <w:spacing w:before="120" w:after="120"/>
        <w:jc w:val="both"/>
      </w:pPr>
      <w:r w:rsidRPr="00A42ABF">
        <w:t>This implies that</w:t>
      </w:r>
    </w:p>
    <w:p w:rsidR="002C3832" w:rsidRPr="00A42ABF" w:rsidRDefault="0027727B" w:rsidP="00580ECF">
      <w:pPr>
        <w:spacing w:before="120" w:after="120"/>
        <w:ind w:left="720" w:firstLine="720"/>
        <w:jc w:val="both"/>
      </w:pPr>
      <w:r w:rsidRPr="00A42ABF">
        <w:rPr>
          <w:position w:val="-12"/>
        </w:rPr>
        <w:object w:dxaOrig="5240" w:dyaOrig="360">
          <v:shape id="_x0000_i1040" type="#_x0000_t75" style="width:261pt;height:18pt" o:ole="">
            <v:imagedata r:id="rId37" o:title=""/>
          </v:shape>
          <o:OLEObject Type="Embed" ProgID="Equation.3" ShapeID="_x0000_i1040" DrawAspect="Content" ObjectID="_1417087375" r:id="rId38"/>
        </w:object>
      </w:r>
    </w:p>
    <w:p w:rsidR="002C3832" w:rsidRPr="00A42ABF" w:rsidRDefault="002C3832" w:rsidP="00580ECF">
      <w:pPr>
        <w:spacing w:before="120" w:after="120"/>
        <w:jc w:val="both"/>
      </w:pPr>
      <w:r w:rsidRPr="00A42ABF">
        <w:t xml:space="preserve">Since </w:t>
      </w:r>
      <w:r w:rsidRPr="00A42ABF">
        <w:rPr>
          <w:position w:val="-12"/>
        </w:rPr>
        <w:object w:dxaOrig="1180" w:dyaOrig="360">
          <v:shape id="_x0000_i1041" type="#_x0000_t75" style="width:59.25pt;height:18pt" o:ole="">
            <v:imagedata r:id="rId19" o:title=""/>
          </v:shape>
          <o:OLEObject Type="Embed" ProgID="Equation.3" ShapeID="_x0000_i1041" DrawAspect="Content" ObjectID="_1417087376" r:id="rId39"/>
        </w:object>
      </w:r>
      <w:r w:rsidRPr="00A42ABF">
        <w:t xml:space="preserve"> and thus,</w:t>
      </w:r>
    </w:p>
    <w:p w:rsidR="002C3832" w:rsidRPr="00A42ABF" w:rsidRDefault="002C3832" w:rsidP="00580ECF">
      <w:pPr>
        <w:spacing w:before="120" w:after="120"/>
        <w:jc w:val="both"/>
      </w:pPr>
      <w:r w:rsidRPr="00A42ABF">
        <w:tab/>
      </w:r>
      <w:r w:rsidRPr="00A42ABF">
        <w:tab/>
      </w:r>
      <w:r w:rsidR="0027727B" w:rsidRPr="00A42ABF">
        <w:rPr>
          <w:position w:val="-10"/>
        </w:rPr>
        <w:object w:dxaOrig="4300" w:dyaOrig="320">
          <v:shape id="_x0000_i1042" type="#_x0000_t75" style="width:217.5pt;height:15.75pt" o:ole="">
            <v:imagedata r:id="rId40" o:title=""/>
          </v:shape>
          <o:OLEObject Type="Embed" ProgID="Equation.3" ShapeID="_x0000_i1042" DrawAspect="Content" ObjectID="_1417087377" r:id="rId41"/>
        </w:object>
      </w:r>
    </w:p>
    <w:p w:rsidR="002C3832" w:rsidRPr="00A42ABF" w:rsidRDefault="002C3832" w:rsidP="00580ECF">
      <w:pPr>
        <w:jc w:val="both"/>
      </w:pPr>
      <w:r w:rsidRPr="00A42ABF">
        <w:t xml:space="preserve">In order to identify the structural shocks </w:t>
      </w:r>
      <w:r w:rsidRPr="00A42ABF">
        <w:rPr>
          <w:position w:val="-10"/>
        </w:rPr>
        <w:object w:dxaOrig="340" w:dyaOrig="340">
          <v:shape id="_x0000_i1043" type="#_x0000_t75" style="width:15.75pt;height:15.75pt" o:ole="">
            <v:imagedata r:id="rId42" o:title=""/>
          </v:shape>
          <o:OLEObject Type="Embed" ProgID="Equation.3" ShapeID="_x0000_i1043" DrawAspect="Content" ObjectID="_1417087378" r:id="rId43"/>
        </w:object>
      </w:r>
      <w:r w:rsidRPr="00A42ABF">
        <w:t>from the information obtained by estimating the vector autoregressive equation (equation 3.</w:t>
      </w:r>
      <w:r w:rsidR="00BA3FCB">
        <w:t>4</w:t>
      </w:r>
      <w:r w:rsidRPr="00A42ABF">
        <w:t xml:space="preserve">), which means, from the reduced-form shocks </w:t>
      </w:r>
      <w:r w:rsidRPr="00A42ABF">
        <w:rPr>
          <w:position w:val="-10"/>
        </w:rPr>
        <w:object w:dxaOrig="320" w:dyaOrig="340">
          <v:shape id="_x0000_i1044" type="#_x0000_t75" style="width:15.75pt;height:15.75pt" o:ole="">
            <v:imagedata r:id="rId44" o:title=""/>
          </v:shape>
          <o:OLEObject Type="Embed" ProgID="Equation.3" ShapeID="_x0000_i1044" DrawAspect="Content" ObjectID="_1417087379" r:id="rId45"/>
        </w:object>
      </w:r>
      <w:r w:rsidRPr="00A42ABF">
        <w:t>and their variance</w:t>
      </w:r>
      <w:r w:rsidRPr="00A42ABF">
        <w:rPr>
          <w:position w:val="-10"/>
        </w:rPr>
        <w:object w:dxaOrig="400" w:dyaOrig="340">
          <v:shape id="_x0000_i1045" type="#_x0000_t75" style="width:20.25pt;height:15.75pt" o:ole="">
            <v:imagedata r:id="rId46" o:title=""/>
          </v:shape>
          <o:OLEObject Type="Embed" ProgID="Equation.3" ShapeID="_x0000_i1045" DrawAspect="Content" ObjectID="_1417087380" r:id="rId47"/>
        </w:object>
      </w:r>
      <w:r w:rsidRPr="00A42ABF">
        <w:t>, we need to provide sufficient identifying restrictions to evaluate the elements in</w:t>
      </w:r>
      <w:r w:rsidRPr="00A42ABF">
        <w:rPr>
          <w:position w:val="-10"/>
        </w:rPr>
        <w:object w:dxaOrig="499" w:dyaOrig="340">
          <v:shape id="_x0000_i1046" type="#_x0000_t75" style="width:25.5pt;height:15.75pt" o:ole="">
            <v:imagedata r:id="rId48" o:title=""/>
          </v:shape>
          <o:OLEObject Type="Embed" ProgID="Equation.3" ShapeID="_x0000_i1046" DrawAspect="Content" ObjectID="_1417087381" r:id="rId49"/>
        </w:object>
      </w:r>
      <w:r w:rsidRPr="00A42ABF">
        <w:t>.</w:t>
      </w:r>
    </w:p>
    <w:p w:rsidR="002C3832" w:rsidRPr="00A42ABF" w:rsidRDefault="002C3832" w:rsidP="00580ECF">
      <w:pPr>
        <w:jc w:val="both"/>
      </w:pPr>
    </w:p>
    <w:p w:rsidR="002C3832" w:rsidRPr="00A42ABF" w:rsidRDefault="002C3832" w:rsidP="00580ECF">
      <w:pPr>
        <w:jc w:val="both"/>
      </w:pPr>
      <w:r w:rsidRPr="00A42ABF">
        <w:t xml:space="preserve">In this multivariable system, </w:t>
      </w:r>
      <w:r w:rsidRPr="00A42ABF">
        <w:rPr>
          <w:position w:val="-10"/>
        </w:rPr>
        <w:object w:dxaOrig="499" w:dyaOrig="340">
          <v:shape id="_x0000_i1047" type="#_x0000_t75" style="width:25.5pt;height:15.75pt" o:ole="">
            <v:imagedata r:id="rId48" o:title=""/>
          </v:shape>
          <o:OLEObject Type="Embed" ProgID="Equation.3" ShapeID="_x0000_i1047" DrawAspect="Content" ObjectID="_1417087382" r:id="rId50"/>
        </w:object>
      </w:r>
      <w:r w:rsidRPr="00A42ABF">
        <w:t xml:space="preserve"> have about sixteen elements.  Since the estimated variance-covariance matrix </w:t>
      </w:r>
      <w:r w:rsidRPr="00A42ABF">
        <w:rPr>
          <w:position w:val="-4"/>
        </w:rPr>
        <w:object w:dxaOrig="260" w:dyaOrig="260">
          <v:shape id="_x0000_i1048" type="#_x0000_t75" style="width:12.75pt;height:12.75pt" o:ole="">
            <v:imagedata r:id="rId51" o:title=""/>
          </v:shape>
          <o:OLEObject Type="Embed" ProgID="Equation.3" ShapeID="_x0000_i1048" DrawAspect="Content" ObjectID="_1417087383" r:id="rId52"/>
        </w:object>
      </w:r>
      <w:r w:rsidRPr="00A42ABF">
        <w:t xml:space="preserve"> is symmetric, equation (3.</w:t>
      </w:r>
      <w:r w:rsidR="0027727B">
        <w:t>8</w:t>
      </w:r>
      <w:r w:rsidRPr="00A42ABF">
        <w:t>) provide about twelve independent identifying restrictions.  Thus, about six additional restrictions must be imposed.</w:t>
      </w:r>
    </w:p>
    <w:p w:rsidR="002C3832" w:rsidRPr="00A42ABF" w:rsidRDefault="002C3832" w:rsidP="00580ECF">
      <w:pPr>
        <w:spacing w:before="120" w:after="120"/>
        <w:jc w:val="both"/>
      </w:pPr>
      <w:r w:rsidRPr="00A42ABF">
        <w:t>We note that the matrix of long-run effects of reduced-form shocks</w:t>
      </w:r>
      <w:r w:rsidRPr="00A42ABF">
        <w:rPr>
          <w:position w:val="-10"/>
        </w:rPr>
        <w:object w:dxaOrig="460" w:dyaOrig="340">
          <v:shape id="_x0000_i1049" type="#_x0000_t75" style="width:22.5pt;height:15.75pt" o:ole="">
            <v:imagedata r:id="rId53" o:title=""/>
          </v:shape>
          <o:OLEObject Type="Embed" ProgID="Equation.3" ShapeID="_x0000_i1049" DrawAspect="Content" ObjectID="_1417087384" r:id="rId54"/>
        </w:object>
      </w:r>
      <w:r w:rsidRPr="00A42ABF">
        <w:t xml:space="preserve"> is related to the equivalent matrix of structural shocks,</w:t>
      </w:r>
      <w:r w:rsidRPr="00A42ABF">
        <w:rPr>
          <w:position w:val="-10"/>
        </w:rPr>
        <w:object w:dxaOrig="520" w:dyaOrig="340">
          <v:shape id="_x0000_i1050" type="#_x0000_t75" style="width:25.5pt;height:15.75pt" o:ole="">
            <v:imagedata r:id="rId55" o:title=""/>
          </v:shape>
          <o:OLEObject Type="Embed" ProgID="Equation.3" ShapeID="_x0000_i1050" DrawAspect="Content" ObjectID="_1417087385" r:id="rId56"/>
        </w:object>
      </w:r>
      <w:r w:rsidRPr="00A42ABF">
        <w:t xml:space="preserve"> through the relation below:</w:t>
      </w:r>
    </w:p>
    <w:p w:rsidR="002C3832" w:rsidRPr="00A42ABF" w:rsidRDefault="002C3832" w:rsidP="00580ECF">
      <w:pPr>
        <w:spacing w:before="120" w:after="120"/>
        <w:jc w:val="both"/>
      </w:pPr>
      <w:r w:rsidRPr="00A42ABF">
        <w:lastRenderedPageBreak/>
        <w:tab/>
      </w:r>
      <w:r w:rsidRPr="00A42ABF">
        <w:tab/>
      </w:r>
      <w:r w:rsidR="0027727B" w:rsidRPr="00A42ABF">
        <w:rPr>
          <w:position w:val="-10"/>
        </w:rPr>
        <w:object w:dxaOrig="4120" w:dyaOrig="340">
          <v:shape id="_x0000_i1051" type="#_x0000_t75" style="width:205.5pt;height:15.75pt" o:ole="">
            <v:imagedata r:id="rId57" o:title=""/>
          </v:shape>
          <o:OLEObject Type="Embed" ProgID="Equation.3" ShapeID="_x0000_i1051" DrawAspect="Content" ObjectID="_1417087386" r:id="rId58"/>
        </w:object>
      </w:r>
    </w:p>
    <w:p w:rsidR="002C3832" w:rsidRPr="00A42ABF" w:rsidRDefault="002C3832" w:rsidP="00580ECF">
      <w:pPr>
        <w:spacing w:before="120" w:after="120"/>
        <w:jc w:val="both"/>
      </w:pPr>
      <w:r w:rsidRPr="00A42ABF">
        <w:t>Where,</w:t>
      </w:r>
    </w:p>
    <w:p w:rsidR="002C3832" w:rsidRPr="00A42ABF" w:rsidRDefault="002C3832" w:rsidP="00580ECF">
      <w:pPr>
        <w:spacing w:before="120" w:after="120"/>
        <w:jc w:val="both"/>
      </w:pPr>
      <w:r w:rsidRPr="00A42ABF">
        <w:t xml:space="preserve">The matrix </w:t>
      </w:r>
      <w:r w:rsidRPr="00A42ABF">
        <w:rPr>
          <w:position w:val="-10"/>
        </w:rPr>
        <w:object w:dxaOrig="480" w:dyaOrig="320">
          <v:shape id="_x0000_i1052" type="#_x0000_t75" style="width:24pt;height:15.75pt" o:ole="">
            <v:imagedata r:id="rId59" o:title=""/>
          </v:shape>
          <o:OLEObject Type="Embed" ProgID="Equation.3" ShapeID="_x0000_i1052" DrawAspect="Content" ObjectID="_1417087387" r:id="rId60"/>
        </w:object>
      </w:r>
      <w:r w:rsidRPr="00A42ABF">
        <w:t xml:space="preserve">is calculated from the estimated vector autoregressions and </w:t>
      </w:r>
      <w:r w:rsidRPr="00A42ABF">
        <w:rPr>
          <w:position w:val="-10"/>
        </w:rPr>
        <w:object w:dxaOrig="480" w:dyaOrig="320">
          <v:shape id="_x0000_i1053" type="#_x0000_t75" style="width:24pt;height:15.75pt" o:ole="">
            <v:imagedata r:id="rId61" o:title=""/>
          </v:shape>
          <o:OLEObject Type="Embed" ProgID="Equation.3" ShapeID="_x0000_i1053" DrawAspect="Content" ObjectID="_1417087388" r:id="rId62"/>
        </w:object>
      </w:r>
      <w:r w:rsidRPr="00A42ABF">
        <w:t xml:space="preserve">is the polynomial value </w:t>
      </w:r>
      <w:r w:rsidRPr="00A42ABF">
        <w:rPr>
          <w:position w:val="-10"/>
        </w:rPr>
        <w:object w:dxaOrig="560" w:dyaOrig="320">
          <v:shape id="_x0000_i1054" type="#_x0000_t75" style="width:27pt;height:15.75pt" o:ole="">
            <v:imagedata r:id="rId63" o:title=""/>
          </v:shape>
          <o:OLEObject Type="Embed" ProgID="Equation.3" ShapeID="_x0000_i1054" DrawAspect="Content" ObjectID="_1417087389" r:id="rId64"/>
        </w:object>
      </w:r>
      <w:r w:rsidRPr="00A42ABF">
        <w:t>for L=1.</w:t>
      </w:r>
    </w:p>
    <w:p w:rsidR="002C3832" w:rsidRPr="00A42ABF" w:rsidRDefault="002C3832" w:rsidP="00580ECF">
      <w:pPr>
        <w:spacing w:before="120" w:after="120"/>
        <w:jc w:val="both"/>
      </w:pPr>
      <w:r w:rsidRPr="00A42ABF">
        <w:t>If the multivariable in this model cointegrates, it implies certain long-run restrictions (King, Plosser, Stock and Watson, 1991).</w:t>
      </w:r>
    </w:p>
    <w:p w:rsidR="002C3832" w:rsidRPr="00A42ABF" w:rsidRDefault="002C3832" w:rsidP="00580ECF">
      <w:pPr>
        <w:spacing w:before="120" w:after="120"/>
        <w:jc w:val="both"/>
      </w:pPr>
      <w:r w:rsidRPr="00A42ABF">
        <w:t xml:space="preserve">Therefore, the </w:t>
      </w:r>
      <w:r w:rsidR="00A42ABF" w:rsidRPr="00A42ABF">
        <w:t>trade flow</w:t>
      </w:r>
      <w:r w:rsidRPr="00A42ABF">
        <w:t xml:space="preserve"> decomposition below can be obtained: </w:t>
      </w:r>
    </w:p>
    <w:p w:rsidR="002C3832" w:rsidRPr="00A42ABF" w:rsidRDefault="0027727B" w:rsidP="00580ECF">
      <w:pPr>
        <w:spacing w:before="120" w:after="120"/>
        <w:jc w:val="both"/>
      </w:pPr>
      <w:r w:rsidRPr="00A42ABF">
        <w:rPr>
          <w:position w:val="-14"/>
        </w:rPr>
        <w:object w:dxaOrig="8640" w:dyaOrig="400">
          <v:shape id="_x0000_i1055" type="#_x0000_t75" style="width:6in;height:19.5pt" o:ole="">
            <v:imagedata r:id="rId65" o:title=""/>
          </v:shape>
          <o:OLEObject Type="Embed" ProgID="Equation.3" ShapeID="_x0000_i1055" DrawAspect="Content" ObjectID="_1417087390" r:id="rId66"/>
        </w:object>
      </w:r>
      <w:r w:rsidR="002C3832" w:rsidRPr="00A42ABF">
        <w:t>Where,</w:t>
      </w:r>
    </w:p>
    <w:p w:rsidR="002C3832" w:rsidRPr="00A42ABF" w:rsidRDefault="002C3832" w:rsidP="00580ECF">
      <w:pPr>
        <w:spacing w:before="120" w:after="120"/>
        <w:jc w:val="both"/>
      </w:pPr>
      <w:r w:rsidRPr="00A42ABF">
        <w:t>A*(L) =the transitory components of the permanent shocks on the parameters.</w:t>
      </w:r>
    </w:p>
    <w:p w:rsidR="002C3832" w:rsidRPr="00A42ABF" w:rsidRDefault="002C3832" w:rsidP="00580ECF">
      <w:pPr>
        <w:spacing w:before="120" w:after="120"/>
        <w:jc w:val="both"/>
      </w:pPr>
      <w:r w:rsidRPr="00A42ABF">
        <w:t xml:space="preserve">The first five terms on the right-hand side represents the measures of the first difference of the potential </w:t>
      </w:r>
      <w:r w:rsidR="00A42ABF" w:rsidRPr="00A42ABF">
        <w:t>trade</w:t>
      </w:r>
      <w:r w:rsidRPr="00A42ABF">
        <w:t xml:space="preserve"> flow in Nigeria while the other parameters represents likely parameter disturbances by other variables in the model.  This is the standard bootstrap approach (Runkel, 1987; Jeong and Maddala, 1993) which presents the confidence intervals around the estimated potential foreign aid.</w:t>
      </w:r>
    </w:p>
    <w:p w:rsidR="002C3832" w:rsidRPr="00A42ABF" w:rsidRDefault="002C3832" w:rsidP="00580ECF">
      <w:pPr>
        <w:spacing w:before="120" w:after="120"/>
        <w:jc w:val="both"/>
      </w:pPr>
      <w:r w:rsidRPr="00A42ABF">
        <w:t>Following the multivariate method as stated by Beveridge-Nelson (Watson, 1986), where parameter and cyclical components are perfectly correlated, the decomposition can be expressed as:</w:t>
      </w:r>
    </w:p>
    <w:p w:rsidR="002C3832" w:rsidRPr="00A42ABF" w:rsidRDefault="002C3832" w:rsidP="00580ECF">
      <w:pPr>
        <w:spacing w:before="120" w:after="120"/>
        <w:jc w:val="both"/>
      </w:pPr>
      <w:r w:rsidRPr="00A42ABF">
        <w:tab/>
      </w:r>
      <w:r w:rsidRPr="00A42ABF">
        <w:tab/>
      </w:r>
      <w:r w:rsidR="00BA3FCB" w:rsidRPr="00A42ABF">
        <w:rPr>
          <w:position w:val="-12"/>
        </w:rPr>
        <w:object w:dxaOrig="5179" w:dyaOrig="380">
          <v:shape id="_x0000_i1056" type="#_x0000_t75" style="width:258.75pt;height:18pt" o:ole="">
            <v:imagedata r:id="rId67" o:title=""/>
          </v:shape>
          <o:OLEObject Type="Embed" ProgID="Equation.3" ShapeID="_x0000_i1056" DrawAspect="Content" ObjectID="_1417087391" r:id="rId68"/>
        </w:object>
      </w:r>
    </w:p>
    <w:p w:rsidR="002C3832" w:rsidRPr="00A42ABF" w:rsidRDefault="002C3832" w:rsidP="00580ECF">
      <w:pPr>
        <w:jc w:val="both"/>
      </w:pPr>
      <w:r w:rsidRPr="00A42ABF">
        <w:t xml:space="preserve">Here, the first difference of potential </w:t>
      </w:r>
      <w:r w:rsidR="00A42ABF" w:rsidRPr="00A42ABF">
        <w:t>trade flow</w:t>
      </w:r>
      <w:r w:rsidRPr="00A42ABF">
        <w:t xml:space="preserve"> is simply the first two terms on the right-hand side of the equation.  This implies that potential foreign aid is perfectly correlated with the cyclical components in the model.</w:t>
      </w:r>
    </w:p>
    <w:p w:rsidR="002C3832" w:rsidRPr="00A42ABF" w:rsidRDefault="002C3832" w:rsidP="00580ECF">
      <w:pPr>
        <w:jc w:val="both"/>
      </w:pPr>
    </w:p>
    <w:p w:rsidR="002C3832" w:rsidRPr="00A42ABF" w:rsidRDefault="002C3832" w:rsidP="00580ECF">
      <w:pPr>
        <w:jc w:val="both"/>
        <w:rPr>
          <w:b/>
        </w:rPr>
      </w:pPr>
      <w:r w:rsidRPr="00A42ABF">
        <w:rPr>
          <w:b/>
        </w:rPr>
        <w:t>3.</w:t>
      </w:r>
      <w:r w:rsidR="00D846E2">
        <w:rPr>
          <w:b/>
        </w:rPr>
        <w:t>2</w:t>
      </w:r>
      <w:r w:rsidRPr="00A42ABF">
        <w:rPr>
          <w:b/>
        </w:rPr>
        <w:t>.2</w:t>
      </w:r>
      <w:r w:rsidRPr="00A42ABF">
        <w:rPr>
          <w:b/>
        </w:rPr>
        <w:tab/>
        <w:t>Impulse responses</w:t>
      </w:r>
    </w:p>
    <w:p w:rsidR="002C3832" w:rsidRPr="00A42ABF" w:rsidRDefault="002C3832" w:rsidP="00580ECF">
      <w:pPr>
        <w:jc w:val="both"/>
        <w:rPr>
          <w:b/>
        </w:rPr>
      </w:pPr>
    </w:p>
    <w:p w:rsidR="002C3832" w:rsidRPr="00A42ABF" w:rsidRDefault="002C3832" w:rsidP="00580ECF">
      <w:pPr>
        <w:jc w:val="both"/>
      </w:pPr>
      <w:r w:rsidRPr="00A42ABF">
        <w:t>This aspect of the VAR study made VAR econometrics useful in applied work.  The impulse response function simulates, over time, the effect of a one-time shock in one of the equation series on itself and on other equation series in the entire equation system.  Also, this response function uses a method that converts the VAR model into its moving average representation (Hamilton, 1994).</w:t>
      </w:r>
    </w:p>
    <w:p w:rsidR="002C3832" w:rsidRPr="00A42ABF" w:rsidRDefault="002C3832" w:rsidP="00580ECF">
      <w:pPr>
        <w:jc w:val="both"/>
      </w:pPr>
    </w:p>
    <w:p w:rsidR="002C3832" w:rsidRPr="00A42ABF" w:rsidRDefault="002C3832" w:rsidP="00580ECF">
      <w:pPr>
        <w:jc w:val="both"/>
      </w:pPr>
      <w:r w:rsidRPr="00A42ABF">
        <w:t>Therefore, the researcher imposes a one-time exogenous shock on one of the VAR variable on the system, in other to examine the annual impulse responses of the other respondent endogenous variables.  This enable the researcher to discern what the sample’s long-run and historical trends would generate as answers to the research questions.</w:t>
      </w:r>
    </w:p>
    <w:p w:rsidR="002C3832" w:rsidRPr="00A42ABF" w:rsidRDefault="002C3832" w:rsidP="00580ECF">
      <w:pPr>
        <w:jc w:val="both"/>
      </w:pPr>
    </w:p>
    <w:p w:rsidR="002C3832" w:rsidRPr="00A42ABF" w:rsidRDefault="002C3832" w:rsidP="00580ECF">
      <w:pPr>
        <w:jc w:val="both"/>
      </w:pPr>
      <w:r w:rsidRPr="00A42ABF">
        <w:t>Subsequently, it is important to note that the impulse response effect is an elasticity-like multiplier that reveals the long-run average percentage change in the shocked variable.  Consequently, signs are important.  A positive (negative) sign suggests that the respondent variables reaction is in the same (opposing) direction as the shock.</w:t>
      </w:r>
    </w:p>
    <w:p w:rsidR="002C3832" w:rsidRPr="00A42ABF" w:rsidRDefault="002C3832" w:rsidP="00580ECF">
      <w:pPr>
        <w:jc w:val="both"/>
      </w:pPr>
    </w:p>
    <w:p w:rsidR="002C3832" w:rsidRPr="00A42ABF" w:rsidRDefault="002C3832" w:rsidP="00580ECF">
      <w:pPr>
        <w:jc w:val="both"/>
      </w:pPr>
      <w:r w:rsidRPr="00A42ABF">
        <w:t>Considering the VAR model in equation (3.8), the generalized impulse response function for a system-wide shock, U</w:t>
      </w:r>
      <w:r w:rsidRPr="00A42ABF">
        <w:rPr>
          <w:vertAlign w:val="superscript"/>
        </w:rPr>
        <w:t>o</w:t>
      </w:r>
      <w:r w:rsidRPr="00A42ABF">
        <w:rPr>
          <w:vertAlign w:val="subscript"/>
        </w:rPr>
        <w:t>t</w:t>
      </w:r>
      <w:r w:rsidRPr="00A42ABF">
        <w:t>, is defined by;</w:t>
      </w:r>
    </w:p>
    <w:p w:rsidR="002C3832" w:rsidRPr="00A42ABF" w:rsidRDefault="002C3832" w:rsidP="00580ECF">
      <w:pPr>
        <w:spacing w:before="120" w:after="120"/>
        <w:jc w:val="both"/>
      </w:pPr>
      <w:r w:rsidRPr="00A42ABF">
        <w:tab/>
      </w:r>
      <w:r w:rsidRPr="00A42ABF">
        <w:tab/>
      </w:r>
      <w:r w:rsidRPr="00A42ABF">
        <w:rPr>
          <w:position w:val="-12"/>
        </w:rPr>
        <w:object w:dxaOrig="3120" w:dyaOrig="380">
          <v:shape id="_x0000_i1057" type="#_x0000_t75" style="width:156pt;height:18pt" o:ole="">
            <v:imagedata r:id="rId69" o:title=""/>
          </v:shape>
          <o:OLEObject Type="Embed" ProgID="Equation.3" ShapeID="_x0000_i1057" DrawAspect="Content" ObjectID="_1417087392" r:id="rId70"/>
        </w:object>
      </w:r>
      <w:r w:rsidRPr="00A42ABF">
        <w:tab/>
        <w:t>-</w:t>
      </w:r>
      <w:r w:rsidRPr="00A42ABF">
        <w:tab/>
        <w:t>-</w:t>
      </w:r>
      <w:r w:rsidRPr="00A42ABF">
        <w:tab/>
        <w:t>(3.</w:t>
      </w:r>
      <w:r w:rsidR="00BA3FCB">
        <w:t>12</w:t>
      </w:r>
      <w:r w:rsidRPr="00A42ABF">
        <w:t>)</w:t>
      </w:r>
    </w:p>
    <w:p w:rsidR="002C3832" w:rsidRPr="00A42ABF" w:rsidRDefault="002C3832" w:rsidP="00580ECF">
      <w:pPr>
        <w:spacing w:before="120" w:after="120"/>
        <w:jc w:val="both"/>
      </w:pPr>
      <w:r w:rsidRPr="00A42ABF">
        <w:t>Where;</w:t>
      </w:r>
    </w:p>
    <w:p w:rsidR="002C3832" w:rsidRPr="00A42ABF" w:rsidRDefault="002C3832" w:rsidP="00580ECF">
      <w:pPr>
        <w:spacing w:before="120" w:after="120"/>
        <w:jc w:val="both"/>
      </w:pPr>
      <w:r w:rsidRPr="00A42ABF">
        <w:rPr>
          <w:position w:val="-12"/>
        </w:rPr>
        <w:object w:dxaOrig="1260" w:dyaOrig="380">
          <v:shape id="_x0000_i1058" type="#_x0000_t75" style="width:63.75pt;height:18pt" o:ole="">
            <v:imagedata r:id="rId71" o:title=""/>
          </v:shape>
          <o:OLEObject Type="Embed" ProgID="Equation.3" ShapeID="_x0000_i1058" DrawAspect="Content" ObjectID="_1417087393" r:id="rId72"/>
        </w:object>
      </w:r>
      <w:r w:rsidRPr="00A42ABF">
        <w:t xml:space="preserve"> = The conditional mathematical expectation taken with respect to the VAR model in equation (3.8).</w:t>
      </w:r>
    </w:p>
    <w:p w:rsidR="002C3832" w:rsidRPr="00A42ABF" w:rsidRDefault="002C3832" w:rsidP="00580ECF">
      <w:pPr>
        <w:spacing w:before="120" w:after="120"/>
        <w:jc w:val="both"/>
      </w:pPr>
      <w:r w:rsidRPr="00A42ABF">
        <w:rPr>
          <w:position w:val="-12"/>
        </w:rPr>
        <w:object w:dxaOrig="460" w:dyaOrig="380">
          <v:shape id="_x0000_i1059" type="#_x0000_t75" style="width:22.5pt;height:18pt" o:ole="">
            <v:imagedata r:id="rId73" o:title=""/>
          </v:shape>
          <o:OLEObject Type="Embed" ProgID="Equation.3" ShapeID="_x0000_i1059" DrawAspect="Content" ObjectID="_1417087394" r:id="rId74"/>
        </w:object>
      </w:r>
      <w:r w:rsidRPr="00A42ABF">
        <w:t xml:space="preserve"> = A particular historical realization of the process at time t-1</w:t>
      </w:r>
    </w:p>
    <w:p w:rsidR="002C3832" w:rsidRPr="00A42ABF" w:rsidRDefault="002C3832" w:rsidP="00580ECF">
      <w:pPr>
        <w:spacing w:before="120" w:after="120"/>
        <w:jc w:val="both"/>
      </w:pPr>
      <w:r w:rsidRPr="00A42ABF">
        <w:t>With a view of its moving average, the above equation will like become;</w:t>
      </w:r>
    </w:p>
    <w:p w:rsidR="002C3832" w:rsidRPr="00A42ABF" w:rsidRDefault="002C3832" w:rsidP="00580ECF">
      <w:pPr>
        <w:spacing w:before="120" w:after="120"/>
        <w:jc w:val="both"/>
      </w:pPr>
      <w:r w:rsidRPr="00A42ABF">
        <w:tab/>
      </w:r>
      <w:r w:rsidRPr="00A42ABF">
        <w:tab/>
      </w:r>
      <w:r w:rsidRPr="00A42ABF">
        <w:rPr>
          <w:position w:val="-12"/>
        </w:rPr>
        <w:object w:dxaOrig="2520" w:dyaOrig="380">
          <v:shape id="_x0000_i1060" type="#_x0000_t75" style="width:126.75pt;height:18pt" o:ole="">
            <v:imagedata r:id="rId75" o:title=""/>
          </v:shape>
          <o:OLEObject Type="Embed" ProgID="Equation.3" ShapeID="_x0000_i1060" DrawAspect="Content" ObjectID="_1417087395" r:id="rId76"/>
        </w:object>
      </w:r>
      <w:r w:rsidR="00BA3FCB">
        <w:tab/>
        <w:t>-</w:t>
      </w:r>
      <w:r w:rsidR="00BA3FCB">
        <w:tab/>
        <w:t>-</w:t>
      </w:r>
      <w:r w:rsidR="00BA3FCB">
        <w:tab/>
        <w:t>(3.13</w:t>
      </w:r>
      <w:r w:rsidRPr="00A42ABF">
        <w:t>)</w:t>
      </w:r>
    </w:p>
    <w:p w:rsidR="002C3832" w:rsidRPr="00A42ABF" w:rsidRDefault="002C3832" w:rsidP="00580ECF">
      <w:pPr>
        <w:spacing w:before="120" w:after="120"/>
        <w:jc w:val="both"/>
      </w:pPr>
      <w:r w:rsidRPr="00A42ABF">
        <w:t>This equation is independent of the ‘history’ of the process.  Therefore, it is specific to linear systems and does not carry over to non-linear dynamic models.  Practically, the choice of the vector of shocks, U</w:t>
      </w:r>
      <w:r w:rsidRPr="00A42ABF">
        <w:rPr>
          <w:vertAlign w:val="superscript"/>
        </w:rPr>
        <w:t>o</w:t>
      </w:r>
      <w:r w:rsidRPr="00A42ABF">
        <w:rPr>
          <w:vertAlign w:val="subscript"/>
        </w:rPr>
        <w:t>t</w:t>
      </w:r>
      <w:r w:rsidRPr="00A42ABF">
        <w:t>, is arbitrary.  To improve this situation, the empirical distribution function of A</w:t>
      </w:r>
      <w:r w:rsidRPr="00A42ABF">
        <w:rPr>
          <w:vertAlign w:val="subscript"/>
        </w:rPr>
        <w:t>N</w:t>
      </w:r>
      <w:r w:rsidRPr="00A42ABF">
        <w:t>U</w:t>
      </w:r>
      <w:r w:rsidRPr="00A42ABF">
        <w:rPr>
          <w:vertAlign w:val="superscript"/>
        </w:rPr>
        <w:t>o</w:t>
      </w:r>
      <w:r w:rsidRPr="00A42ABF">
        <w:rPr>
          <w:vertAlign w:val="subscript"/>
        </w:rPr>
        <w:t>t</w:t>
      </w:r>
      <w:r w:rsidRPr="00A42ABF">
        <w:t xml:space="preserve"> for all these shocks, in the case were U</w:t>
      </w:r>
      <w:r w:rsidRPr="00A42ABF">
        <w:rPr>
          <w:vertAlign w:val="superscript"/>
        </w:rPr>
        <w:t>o</w:t>
      </w:r>
      <w:r w:rsidRPr="00A42ABF">
        <w:rPr>
          <w:vertAlign w:val="subscript"/>
        </w:rPr>
        <w:t>t</w:t>
      </w:r>
      <w:r w:rsidRPr="00A42ABF">
        <w:t xml:space="preserve"> is drawn from the same distribution as U</w:t>
      </w:r>
      <w:r w:rsidRPr="00A42ABF">
        <w:rPr>
          <w:vertAlign w:val="subscript"/>
        </w:rPr>
        <w:t>t</w:t>
      </w:r>
      <w:r w:rsidRPr="00A42ABF">
        <w:t>, a multivariate normal distribution with zero means and a constant covariance matrix ∑ we have the analytical result that;</w:t>
      </w:r>
    </w:p>
    <w:p w:rsidR="002C3832" w:rsidRPr="00A42ABF" w:rsidRDefault="002C3832" w:rsidP="00580ECF">
      <w:pPr>
        <w:spacing w:before="120" w:after="120"/>
        <w:ind w:firstLine="720"/>
        <w:jc w:val="both"/>
      </w:pPr>
      <w:r w:rsidRPr="00A42ABF">
        <w:tab/>
      </w:r>
      <w:r w:rsidRPr="00A42ABF">
        <w:rPr>
          <w:position w:val="-12"/>
        </w:rPr>
        <w:object w:dxaOrig="1700" w:dyaOrig="380">
          <v:shape id="_x0000_i1061" type="#_x0000_t75" style="width:84.75pt;height:18pt" o:ole="">
            <v:imagedata r:id="rId77" o:title=""/>
          </v:shape>
          <o:OLEObject Type="Embed" ProgID="Equation.3" ShapeID="_x0000_i1061" DrawAspect="Content" ObjectID="_1417087396" r:id="rId78"/>
        </w:object>
      </w:r>
      <w:r w:rsidRPr="00A42ABF">
        <w:t xml:space="preserve"> ~ </w:t>
      </w:r>
      <w:r w:rsidRPr="00A42ABF">
        <w:rPr>
          <w:position w:val="-12"/>
        </w:rPr>
        <w:object w:dxaOrig="1460" w:dyaOrig="380">
          <v:shape id="_x0000_i1062" type="#_x0000_t75" style="width:72.75pt;height:18pt" o:ole="">
            <v:imagedata r:id="rId79" o:title=""/>
          </v:shape>
          <o:OLEObject Type="Embed" ProgID="Equation.3" ShapeID="_x0000_i1062" DrawAspect="Content" ObjectID="_1417087397" r:id="rId80"/>
        </w:object>
      </w:r>
      <w:r w:rsidR="00BA3FCB">
        <w:tab/>
        <w:t>-</w:t>
      </w:r>
      <w:r w:rsidR="00BA3FCB">
        <w:tab/>
        <w:t>-</w:t>
      </w:r>
      <w:r w:rsidR="00BA3FCB">
        <w:tab/>
        <w:t>(3.14</w:t>
      </w:r>
      <w:r w:rsidRPr="00A42ABF">
        <w:t>)</w:t>
      </w:r>
    </w:p>
    <w:p w:rsidR="002C3832" w:rsidRPr="00A42ABF" w:rsidRDefault="002C3832" w:rsidP="00580ECF">
      <w:pPr>
        <w:jc w:val="both"/>
      </w:pPr>
      <w:r w:rsidRPr="00A42ABF">
        <w:t>The elements A</w:t>
      </w:r>
      <w:r w:rsidRPr="00A42ABF">
        <w:rPr>
          <w:vertAlign w:val="subscript"/>
        </w:rPr>
        <w:t>N</w:t>
      </w:r>
      <w:r w:rsidRPr="00A42ABF">
        <w:t>∑A</w:t>
      </w:r>
      <w:r w:rsidRPr="00A42ABF">
        <w:rPr>
          <w:vertAlign w:val="superscript"/>
        </w:rPr>
        <w:t>1</w:t>
      </w:r>
      <w:r w:rsidRPr="00A42ABF">
        <w:rPr>
          <w:vertAlign w:val="subscript"/>
        </w:rPr>
        <w:t>N</w:t>
      </w:r>
      <w:r w:rsidRPr="00A42ABF">
        <w:t>, if appropriately scaled are the ‘persistence profiles’ that analyses the speed of convergence to equilibrium (Lee and Pasaran, 1993; Pasaran and Shin, 1996).  Also, note that whe</w:t>
      </w:r>
      <w:r w:rsidR="00BA3FCB">
        <w:t>n the VAR model in equation (3.9</w:t>
      </w:r>
      <w:r w:rsidRPr="00A42ABF">
        <w:t xml:space="preserve">) is stable, the limit of the ‘persistence profile’ as N </w:t>
      </w:r>
      <w:r w:rsidRPr="00A42ABF">
        <w:sym w:font="Wingdings" w:char="F0E0"/>
      </w:r>
      <w:r w:rsidRPr="00A42ABF">
        <w:t xml:space="preserve"> ∞ tends to the spectral density function of R</w:t>
      </w:r>
      <w:r w:rsidRPr="00A42ABF">
        <w:rPr>
          <w:vertAlign w:val="subscript"/>
        </w:rPr>
        <w:t>t</w:t>
      </w:r>
      <w:r w:rsidRPr="00A42ABF">
        <w:t>(without the W</w:t>
      </w:r>
      <w:r w:rsidRPr="00A42ABF">
        <w:rPr>
          <w:vertAlign w:val="subscript"/>
        </w:rPr>
        <w:t>t</w:t>
      </w:r>
      <w:r w:rsidRPr="00A42ABF">
        <w:t>s) at zero frequency (apart from a multiple of Л) (Sims, 1981; 1986).</w:t>
      </w:r>
    </w:p>
    <w:p w:rsidR="002C3832" w:rsidRPr="00A42ABF" w:rsidRDefault="002C3832" w:rsidP="00580ECF">
      <w:pPr>
        <w:jc w:val="both"/>
      </w:pPr>
    </w:p>
    <w:p w:rsidR="002C3832" w:rsidRPr="00A42ABF" w:rsidRDefault="002C3832" w:rsidP="00580ECF">
      <w:pPr>
        <w:jc w:val="both"/>
      </w:pPr>
      <w:r w:rsidRPr="00A42ABF">
        <w:t>To find the effect of the variable specific shocks on the evolution of the R’s and that for a given U</w:t>
      </w:r>
      <w:r w:rsidRPr="00A42ABF">
        <w:rPr>
          <w:vertAlign w:val="subscript"/>
        </w:rPr>
        <w:t>t</w:t>
      </w:r>
      <w:r w:rsidRPr="00A42ABF">
        <w:t xml:space="preserve">, the VAR model in equation (3.8) is hit by the shock of size </w:t>
      </w:r>
      <w:r w:rsidRPr="00A42ABF">
        <w:rPr>
          <w:position w:val="-14"/>
        </w:rPr>
        <w:object w:dxaOrig="1020" w:dyaOrig="420">
          <v:shape id="_x0000_i1063" type="#_x0000_t75" style="width:51.75pt;height:20.25pt" o:ole="">
            <v:imagedata r:id="rId81" o:title=""/>
          </v:shape>
          <o:OLEObject Type="Embed" ProgID="Equation.3" ShapeID="_x0000_i1063" DrawAspect="Content" ObjectID="_1417087398" r:id="rId82"/>
        </w:object>
      </w:r>
      <w:r w:rsidRPr="00A42ABF">
        <w:t xml:space="preserve"> to the ith equation at time t.  This will change the Impulse Respond equation to;</w:t>
      </w:r>
    </w:p>
    <w:p w:rsidR="002C3832" w:rsidRPr="00A42ABF" w:rsidRDefault="002C3832" w:rsidP="00580ECF">
      <w:pPr>
        <w:spacing w:before="120" w:after="120"/>
        <w:ind w:firstLine="720"/>
        <w:jc w:val="both"/>
      </w:pPr>
      <w:r w:rsidRPr="00A42ABF">
        <w:tab/>
      </w:r>
      <w:r w:rsidRPr="00A42ABF">
        <w:rPr>
          <w:position w:val="-12"/>
        </w:rPr>
        <w:object w:dxaOrig="5200" w:dyaOrig="380">
          <v:shape id="_x0000_i1064" type="#_x0000_t75" style="width:260.25pt;height:18pt" o:ole="">
            <v:imagedata r:id="rId83" o:title=""/>
          </v:shape>
          <o:OLEObject Type="Embed" ProgID="Equation.3" ShapeID="_x0000_i1064" DrawAspect="Content" ObjectID="_1417087399" r:id="rId84"/>
        </w:object>
      </w:r>
      <w:r w:rsidRPr="00A42ABF">
        <w:tab/>
        <w:t>-</w:t>
      </w:r>
      <w:r w:rsidRPr="00A42ABF">
        <w:tab/>
        <w:t>-  (3.12)</w:t>
      </w:r>
    </w:p>
    <w:p w:rsidR="002C3832" w:rsidRPr="00A42ABF" w:rsidRDefault="002C3832" w:rsidP="00580ECF">
      <w:pPr>
        <w:spacing w:before="120" w:after="120"/>
        <w:jc w:val="both"/>
      </w:pPr>
      <w:r w:rsidRPr="00A42ABF">
        <w:t>Expressing the equation above in a moving average, we have;</w:t>
      </w:r>
    </w:p>
    <w:p w:rsidR="002C3832" w:rsidRPr="00A42ABF" w:rsidRDefault="002C3832" w:rsidP="00580ECF">
      <w:pPr>
        <w:spacing w:before="120" w:after="120"/>
        <w:ind w:firstLine="720"/>
        <w:jc w:val="both"/>
      </w:pPr>
      <w:r w:rsidRPr="00A42ABF">
        <w:tab/>
      </w:r>
      <w:r w:rsidRPr="00A42ABF">
        <w:rPr>
          <w:position w:val="-12"/>
        </w:rPr>
        <w:object w:dxaOrig="1640" w:dyaOrig="380">
          <v:shape id="_x0000_i1065" type="#_x0000_t75" style="width:82.5pt;height:18pt" o:ole="">
            <v:imagedata r:id="rId85" o:title=""/>
          </v:shape>
          <o:OLEObject Type="Embed" ProgID="Equation.3" ShapeID="_x0000_i1065" DrawAspect="Content" ObjectID="_1417087400" r:id="rId86"/>
        </w:object>
      </w:r>
      <w:r w:rsidRPr="00A42ABF">
        <w:t xml:space="preserve"> ~ </w:t>
      </w:r>
      <w:r w:rsidRPr="00A42ABF">
        <w:rPr>
          <w:position w:val="-12"/>
        </w:rPr>
        <w:object w:dxaOrig="1920" w:dyaOrig="360">
          <v:shape id="_x0000_i1066" type="#_x0000_t75" style="width:95.25pt;height:18pt" o:ole="">
            <v:imagedata r:id="rId87" o:title=""/>
          </v:shape>
          <o:OLEObject Type="Embed" ProgID="Equation.3" ShapeID="_x0000_i1066" DrawAspect="Content" ObjectID="_1417087401" r:id="rId88"/>
        </w:object>
      </w:r>
      <w:r w:rsidR="00BA3FCB">
        <w:tab/>
        <w:t>-</w:t>
      </w:r>
      <w:r w:rsidR="00BA3FCB">
        <w:tab/>
        <w:t>-</w:t>
      </w:r>
      <w:r w:rsidR="00BA3FCB">
        <w:tab/>
        <w:t>(3.15</w:t>
      </w:r>
      <w:r w:rsidRPr="00A42ABF">
        <w:t>)</w:t>
      </w:r>
    </w:p>
    <w:p w:rsidR="002C3832" w:rsidRPr="00A42ABF" w:rsidRDefault="002C3832" w:rsidP="00580ECF">
      <w:pPr>
        <w:spacing w:before="120" w:after="120"/>
        <w:jc w:val="both"/>
      </w:pPr>
      <w:r w:rsidRPr="00A42ABF">
        <w:t>This equation is ‘history invariant’, that is, it does not depend on</w:t>
      </w:r>
      <w:r w:rsidRPr="00A42ABF">
        <w:rPr>
          <w:position w:val="-12"/>
        </w:rPr>
        <w:object w:dxaOrig="440" w:dyaOrig="380">
          <v:shape id="_x0000_i1067" type="#_x0000_t75" style="width:21.75pt;height:18pt" o:ole="">
            <v:imagedata r:id="rId89" o:title=""/>
          </v:shape>
          <o:OLEObject Type="Embed" ProgID="Equation.3" ShapeID="_x0000_i1067" DrawAspect="Content" ObjectID="_1417087402" r:id="rId90"/>
        </w:object>
      </w:r>
      <w:r w:rsidRPr="00A42ABF">
        <w:t xml:space="preserve">.  To compute </w:t>
      </w:r>
      <w:r w:rsidRPr="00A42ABF">
        <w:rPr>
          <w:position w:val="-12"/>
        </w:rPr>
        <w:object w:dxaOrig="1600" w:dyaOrig="360">
          <v:shape id="_x0000_i1068" type="#_x0000_t75" style="width:81pt;height:18pt" o:ole="">
            <v:imagedata r:id="rId91" o:title=""/>
          </v:shape>
          <o:OLEObject Type="Embed" ProgID="Equation.3" ShapeID="_x0000_i1068" DrawAspect="Content" ObjectID="_1417087403" r:id="rId92"/>
        </w:object>
      </w:r>
      <w:r w:rsidRPr="00A42ABF">
        <w:t>(the conditional expectations), depends on the nature of the multivariate distribution assumed for the disturbances, U</w:t>
      </w:r>
      <w:r w:rsidRPr="00A42ABF">
        <w:rPr>
          <w:vertAlign w:val="subscript"/>
        </w:rPr>
        <w:t>t</w:t>
      </w:r>
      <w:r w:rsidRPr="00A42ABF">
        <w:t xml:space="preserve">.  Then, as </w:t>
      </w:r>
      <w:r w:rsidRPr="00A42ABF">
        <w:rPr>
          <w:position w:val="-12"/>
        </w:rPr>
        <w:object w:dxaOrig="300" w:dyaOrig="360">
          <v:shape id="_x0000_i1069" type="#_x0000_t75" style="width:15pt;height:18pt" o:ole="">
            <v:imagedata r:id="rId93" o:title=""/>
          </v:shape>
          <o:OLEObject Type="Embed" ProgID="Equation.3" ShapeID="_x0000_i1069" DrawAspect="Content" ObjectID="_1417087404" r:id="rId94"/>
        </w:object>
      </w:r>
      <w:r w:rsidRPr="00A42ABF">
        <w:t xml:space="preserve">~ </w:t>
      </w:r>
      <w:r w:rsidRPr="00A42ABF">
        <w:rPr>
          <w:position w:val="-10"/>
        </w:rPr>
        <w:object w:dxaOrig="800" w:dyaOrig="340">
          <v:shape id="_x0000_i1070" type="#_x0000_t75" style="width:39.75pt;height:17.25pt" o:ole="">
            <v:imagedata r:id="rId95" o:title=""/>
          </v:shape>
          <o:OLEObject Type="Embed" ProgID="Equation.3" ShapeID="_x0000_i1070" DrawAspect="Content" ObjectID="_1417087405" r:id="rId96"/>
        </w:object>
      </w:r>
      <w:r w:rsidRPr="00A42ABF">
        <w:t>, we have;</w:t>
      </w:r>
    </w:p>
    <w:p w:rsidR="002C3832" w:rsidRPr="00A42ABF" w:rsidRDefault="002C3832" w:rsidP="00580ECF">
      <w:pPr>
        <w:spacing w:before="120" w:after="120"/>
        <w:ind w:firstLine="720"/>
        <w:jc w:val="both"/>
      </w:pPr>
      <w:r w:rsidRPr="00A42ABF">
        <w:lastRenderedPageBreak/>
        <w:tab/>
      </w:r>
      <w:r w:rsidRPr="00A42ABF">
        <w:rPr>
          <w:position w:val="-12"/>
        </w:rPr>
        <w:object w:dxaOrig="1600" w:dyaOrig="360">
          <v:shape id="_x0000_i1071" type="#_x0000_t75" style="width:81pt;height:18pt" o:ole="">
            <v:imagedata r:id="rId91" o:title=""/>
          </v:shape>
          <o:OLEObject Type="Embed" ProgID="Equation.3" ShapeID="_x0000_i1071" DrawAspect="Content" ObjectID="_1417087406" r:id="rId97"/>
        </w:object>
      </w:r>
      <w:r w:rsidRPr="00A42ABF">
        <w:t xml:space="preserve"> = </w:t>
      </w:r>
      <w:r w:rsidRPr="00A42ABF">
        <w:rPr>
          <w:position w:val="-86"/>
        </w:rPr>
        <w:object w:dxaOrig="1180" w:dyaOrig="1840">
          <v:shape id="_x0000_i1072" type="#_x0000_t75" style="width:36.75pt;height:86.25pt" o:ole="">
            <v:imagedata r:id="rId98" o:title=""/>
          </v:shape>
          <o:OLEObject Type="Embed" ProgID="Equation.3" ShapeID="_x0000_i1072" DrawAspect="Content" ObjectID="_1417087407" r:id="rId99"/>
        </w:object>
      </w:r>
      <w:r w:rsidR="00BA3FCB">
        <w:tab/>
        <w:t>-</w:t>
      </w:r>
      <w:r w:rsidR="00BA3FCB">
        <w:tab/>
        <w:t>-</w:t>
      </w:r>
      <w:r w:rsidR="00BA3FCB">
        <w:tab/>
        <w:t>(3.16</w:t>
      </w:r>
      <w:r w:rsidRPr="00A42ABF">
        <w:t>)</w:t>
      </w:r>
    </w:p>
    <w:p w:rsidR="002C3832" w:rsidRPr="00A42ABF" w:rsidRDefault="002C3832" w:rsidP="00580ECF">
      <w:pPr>
        <w:spacing w:before="120" w:after="120"/>
        <w:jc w:val="both"/>
      </w:pPr>
      <w:r w:rsidRPr="00A42ABF">
        <w:t xml:space="preserve">From above, the unit shock is defined as, </w:t>
      </w:r>
      <w:r w:rsidRPr="00A42ABF">
        <w:rPr>
          <w:position w:val="-14"/>
        </w:rPr>
        <w:object w:dxaOrig="1060" w:dyaOrig="420">
          <v:shape id="_x0000_i1073" type="#_x0000_t75" style="width:54pt;height:20.25pt" o:ole="">
            <v:imagedata r:id="rId100" o:title=""/>
          </v:shape>
          <o:OLEObject Type="Embed" ProgID="Equation.3" ShapeID="_x0000_i1073" DrawAspect="Content" ObjectID="_1417087408" r:id="rId101"/>
        </w:object>
      </w:r>
      <w:r w:rsidRPr="00A42ABF">
        <w:t>.  Therefore, the impulse responds will be:</w:t>
      </w:r>
    </w:p>
    <w:p w:rsidR="002C3832" w:rsidRPr="00A42ABF" w:rsidRDefault="002C3832" w:rsidP="00580ECF">
      <w:pPr>
        <w:spacing w:before="120" w:after="120"/>
        <w:ind w:firstLine="720"/>
        <w:jc w:val="both"/>
      </w:pPr>
      <w:r w:rsidRPr="00A42ABF">
        <w:tab/>
      </w:r>
      <w:r w:rsidRPr="00A42ABF">
        <w:rPr>
          <w:position w:val="-38"/>
        </w:rPr>
        <w:object w:dxaOrig="3440" w:dyaOrig="780">
          <v:shape id="_x0000_i1074" type="#_x0000_t75" style="width:171.75pt;height:32.25pt" o:ole="">
            <v:imagedata r:id="rId102" o:title=""/>
          </v:shape>
          <o:OLEObject Type="Embed" ProgID="Equation.3" ShapeID="_x0000_i1074" DrawAspect="Content" ObjectID="_1417087409" r:id="rId103"/>
        </w:object>
      </w:r>
      <w:r w:rsidR="00BA3FCB">
        <w:tab/>
      </w:r>
      <w:r w:rsidR="00BA3FCB">
        <w:tab/>
        <w:t>i,j, = 1, 2, ..., m</w:t>
      </w:r>
      <w:r w:rsidR="00BA3FCB">
        <w:tab/>
        <w:t>(3.17</w:t>
      </w:r>
      <w:r w:rsidRPr="00A42ABF">
        <w:t>)</w:t>
      </w:r>
    </w:p>
    <w:p w:rsidR="002C3832" w:rsidRPr="00A42ABF" w:rsidRDefault="002C3832" w:rsidP="00580ECF">
      <w:pPr>
        <w:spacing w:before="120" w:after="120"/>
        <w:jc w:val="both"/>
      </w:pPr>
      <w:r w:rsidRPr="00A42ABF">
        <w:t xml:space="preserve">Where, </w:t>
      </w:r>
    </w:p>
    <w:p w:rsidR="002C3832" w:rsidRPr="00A42ABF" w:rsidRDefault="002C3832" w:rsidP="00580ECF">
      <w:pPr>
        <w:spacing w:before="120" w:after="120"/>
        <w:jc w:val="both"/>
      </w:pPr>
      <w:r w:rsidRPr="00A42ABF">
        <w:t>e</w:t>
      </w:r>
      <w:r w:rsidRPr="00A42ABF">
        <w:rPr>
          <w:vertAlign w:val="subscript"/>
        </w:rPr>
        <w:t>t</w:t>
      </w:r>
      <w:r w:rsidRPr="00A42ABF">
        <w:t xml:space="preserve"> = selection vector.</w:t>
      </w:r>
    </w:p>
    <w:p w:rsidR="002C3832" w:rsidRPr="00A42ABF" w:rsidRDefault="002C3832" w:rsidP="00580ECF">
      <w:pPr>
        <w:jc w:val="both"/>
      </w:pPr>
      <w:r w:rsidRPr="00A42ABF">
        <w:t>This is close to a</w:t>
      </w:r>
      <w:r w:rsidR="00FE2FF2" w:rsidRPr="00A42ABF">
        <w:t xml:space="preserve"> </w:t>
      </w:r>
      <w:r w:rsidR="00817DEA" w:rsidRPr="00A42ABF">
        <w:t xml:space="preserve">Cholesky </w:t>
      </w:r>
      <w:r w:rsidRPr="00A42ABF">
        <w:t>impulse response function of a unit shock to the ith equation in the VAR model.</w:t>
      </w:r>
    </w:p>
    <w:p w:rsidR="002C3832" w:rsidRDefault="002C3832" w:rsidP="002C3832">
      <w:pPr>
        <w:jc w:val="both"/>
      </w:pPr>
    </w:p>
    <w:p w:rsidR="00817DEA" w:rsidRPr="00A42ABF" w:rsidRDefault="00817DEA" w:rsidP="002C3832">
      <w:pPr>
        <w:jc w:val="both"/>
      </w:pPr>
    </w:p>
    <w:p w:rsidR="002C3832" w:rsidRPr="00A42ABF" w:rsidRDefault="002C3832" w:rsidP="002C3832">
      <w:pPr>
        <w:jc w:val="both"/>
        <w:rPr>
          <w:b/>
        </w:rPr>
      </w:pPr>
      <w:r w:rsidRPr="00A42ABF">
        <w:rPr>
          <w:b/>
        </w:rPr>
        <w:t>4. Empirical Results</w:t>
      </w:r>
    </w:p>
    <w:p w:rsidR="00FE2FF2" w:rsidRPr="00A42ABF" w:rsidRDefault="00817DEA" w:rsidP="002C3832">
      <w:pPr>
        <w:jc w:val="both"/>
      </w:pPr>
      <w:r>
        <w:br w:type="page"/>
      </w:r>
    </w:p>
    <w:p w:rsidR="000A15AF" w:rsidRPr="00A42ABF" w:rsidRDefault="002C3832" w:rsidP="002C3832">
      <w:r w:rsidRPr="00A42ABF">
        <w:rPr>
          <w:b/>
        </w:rPr>
        <w:t>References</w:t>
      </w:r>
    </w:p>
    <w:p w:rsidR="00E1086C" w:rsidRDefault="00E1086C" w:rsidP="00D846E2"/>
    <w:p w:rsidR="00D846E2" w:rsidRDefault="003A2834" w:rsidP="00D846E2">
      <w:r>
        <w:t xml:space="preserve">Akhar, M., and Hilton, R.S., (1984), “Effect of Exchange Rate Uncertainty on German and U.S. Trade”, </w:t>
      </w:r>
      <w:r w:rsidRPr="003A2834">
        <w:rPr>
          <w:i/>
        </w:rPr>
        <w:t>Quarterly Review</w:t>
      </w:r>
      <w:r>
        <w:t>, Federal Reserve Bank of New York, 9:7-16.</w:t>
      </w:r>
    </w:p>
    <w:p w:rsidR="003A2834" w:rsidRDefault="003A2834" w:rsidP="00D846E2"/>
    <w:p w:rsidR="006D6F50" w:rsidRDefault="006D6F50" w:rsidP="006D6F50">
      <w:r>
        <w:t xml:space="preserve">Arize, C., Osang, T., and Slottje, D.J., (2000), “Exchange Rate Volatility and Foreign Trade: Evidence from thirteen LDCs, </w:t>
      </w:r>
      <w:r w:rsidRPr="001F1BA6">
        <w:rPr>
          <w:i/>
        </w:rPr>
        <w:t>Journal of Business and Economic Statistics</w:t>
      </w:r>
      <w:r>
        <w:t>, 18:10-17.</w:t>
      </w:r>
    </w:p>
    <w:p w:rsidR="006D6F50" w:rsidRDefault="006D6F50" w:rsidP="00D846E2"/>
    <w:p w:rsidR="00D846E2" w:rsidRDefault="00D846E2" w:rsidP="00D846E2">
      <w:r w:rsidRPr="00A42ABF">
        <w:t xml:space="preserve">Bacchetta, P., and Van Wincoop, E., (2000) Does exchange rate stability increase trade and welfare?, </w:t>
      </w:r>
      <w:r w:rsidRPr="00A42ABF">
        <w:rPr>
          <w:i/>
        </w:rPr>
        <w:t>American Economic Review</w:t>
      </w:r>
      <w:r w:rsidRPr="00A42ABF">
        <w:t>, 90, 1093-1109.</w:t>
      </w:r>
    </w:p>
    <w:p w:rsidR="001F1BA6" w:rsidRPr="00A42ABF" w:rsidRDefault="001F1BA6" w:rsidP="00D846E2"/>
    <w:p w:rsidR="00D846E2" w:rsidRPr="00A42ABF" w:rsidRDefault="00D846E2" w:rsidP="00D846E2">
      <w:r w:rsidRPr="00A42ABF">
        <w:t xml:space="preserve">Baron, D.P, (1976) Fluctuating exchange rates and pricing of exports, </w:t>
      </w:r>
      <w:r w:rsidRPr="00A42ABF">
        <w:rPr>
          <w:i/>
        </w:rPr>
        <w:t>Economic Inquiry</w:t>
      </w:r>
      <w:r w:rsidRPr="00A42ABF">
        <w:t>, 14, 425-438.</w:t>
      </w:r>
    </w:p>
    <w:p w:rsidR="00D846E2" w:rsidRPr="00A42ABF" w:rsidRDefault="00D846E2" w:rsidP="00D846E2"/>
    <w:p w:rsidR="00D846E2" w:rsidRDefault="00D846E2" w:rsidP="00D846E2">
      <w:r w:rsidRPr="00A42ABF">
        <w:t xml:space="preserve">Barkoulas, J., Baum, C.F., Caglayan, M., (2002) Exchange rate effects on the volume and variability of trade flows, </w:t>
      </w:r>
      <w:r w:rsidRPr="00A42ABF">
        <w:rPr>
          <w:i/>
        </w:rPr>
        <w:t>Journal of International Money and Finance</w:t>
      </w:r>
      <w:r w:rsidRPr="00A42ABF">
        <w:t>, 21, 481-496.</w:t>
      </w:r>
    </w:p>
    <w:p w:rsidR="00D846E2" w:rsidRDefault="00D846E2" w:rsidP="00D846E2"/>
    <w:p w:rsidR="00D846E2" w:rsidRPr="00A42ABF" w:rsidRDefault="00D846E2" w:rsidP="00D846E2">
      <w:r w:rsidRPr="00A42ABF">
        <w:t>Baum, C.F., and Caglayan, M., (2009). The Volatility of International Trade Flows and Exchange Rate Uncertainty, Department of Economic Working Paper, Boston College, 12 March.</w:t>
      </w:r>
    </w:p>
    <w:p w:rsidR="00FE2FF2" w:rsidRDefault="00FE2FF2"/>
    <w:p w:rsidR="00D846E2" w:rsidRDefault="00D846E2">
      <w:r w:rsidRPr="00A42ABF">
        <w:t xml:space="preserve">Baum, C.F., Caglayan, M., and Ozkan, N., (2004) Nonlinear effects of exchange rate volatility on the volume of bilateral export, </w:t>
      </w:r>
      <w:r w:rsidRPr="00302751">
        <w:rPr>
          <w:i/>
        </w:rPr>
        <w:t>Journal of Applied Econometrics</w:t>
      </w:r>
      <w:r w:rsidRPr="00A42ABF">
        <w:t>, 19, 1-23.</w:t>
      </w:r>
    </w:p>
    <w:p w:rsidR="00D846E2" w:rsidRPr="00A42ABF" w:rsidRDefault="00D846E2"/>
    <w:p w:rsidR="00B02E21" w:rsidRPr="00A42ABF" w:rsidRDefault="00B02E21">
      <w:r w:rsidRPr="00A42ABF">
        <w:t>Blanchard, O. J., and D. Quah, (1989), ‘The dynamic effect of aggregate demand and supply disturbances’,</w:t>
      </w:r>
      <w:r w:rsidR="00C569F4" w:rsidRPr="00A42ABF">
        <w:t xml:space="preserve"> </w:t>
      </w:r>
      <w:r w:rsidRPr="00A42ABF">
        <w:rPr>
          <w:i/>
        </w:rPr>
        <w:t>American Economic Review</w:t>
      </w:r>
      <w:r w:rsidRPr="00A42ABF">
        <w:t>, 79, 655-73.</w:t>
      </w:r>
    </w:p>
    <w:p w:rsidR="00D846E2" w:rsidRDefault="00D846E2"/>
    <w:p w:rsidR="00751264" w:rsidRDefault="00751264">
      <w:r>
        <w:t>Caglayan, M., and Di, J., (2008), “Does real exchange rate volatility affect sectoral trade flows?,” Department of Economics Working Papers 2008011, The University of Sheffield.</w:t>
      </w:r>
    </w:p>
    <w:p w:rsidR="00302751" w:rsidRDefault="00302751"/>
    <w:p w:rsidR="00751264" w:rsidRDefault="003A2834">
      <w:r>
        <w:t>Chowdhury, A.R., (1993), “</w:t>
      </w:r>
      <w:r w:rsidR="00302751">
        <w:t xml:space="preserve">Does Exchange Rate Volatility Depress Trade Flows? Evidence from Error-Correction Models”, </w:t>
      </w:r>
      <w:r w:rsidRPr="00302751">
        <w:rPr>
          <w:i/>
        </w:rPr>
        <w:t>The Review of Economic and Statistics</w:t>
      </w:r>
      <w:r>
        <w:t>,</w:t>
      </w:r>
      <w:r w:rsidR="00302751">
        <w:t xml:space="preserve"> 75(4), pp. 700-706.</w:t>
      </w:r>
    </w:p>
    <w:p w:rsidR="00302751" w:rsidRDefault="00302751"/>
    <w:p w:rsidR="00D846E2" w:rsidRDefault="00D846E2" w:rsidP="00D846E2">
      <w:r w:rsidRPr="00A42ABF">
        <w:t xml:space="preserve">Clark, P.B., (1973) Uncertainty, exchange risk, and the level of international trade. </w:t>
      </w:r>
      <w:r w:rsidRPr="00A42ABF">
        <w:rPr>
          <w:i/>
        </w:rPr>
        <w:t>Western Economic Journal</w:t>
      </w:r>
      <w:r w:rsidRPr="00A42ABF">
        <w:t>, 11, 302-313.</w:t>
      </w:r>
    </w:p>
    <w:p w:rsidR="00302751" w:rsidRPr="00A42ABF" w:rsidRDefault="00302751" w:rsidP="00D846E2"/>
    <w:p w:rsidR="00D846E2" w:rsidRPr="00A42ABF" w:rsidRDefault="00302751" w:rsidP="00D846E2">
      <w:r>
        <w:t xml:space="preserve">Clark, P., Tarmirisa, N., Wei, S.J., Sadikov, A., and Zeng, L., (2004), “Exchange rate volatility and Trade Flows-Some New Evidence”, </w:t>
      </w:r>
      <w:r w:rsidRPr="00302751">
        <w:rPr>
          <w:i/>
        </w:rPr>
        <w:t>International Monetary Fund,</w:t>
      </w:r>
      <w:r>
        <w:t xml:space="preserve"> 19 May.</w:t>
      </w:r>
    </w:p>
    <w:p w:rsidR="00302751" w:rsidRDefault="00302751" w:rsidP="00D846E2"/>
    <w:p w:rsidR="00D846E2" w:rsidRPr="00A42ABF" w:rsidRDefault="00D846E2" w:rsidP="00D846E2">
      <w:r w:rsidRPr="00A42ABF">
        <w:t xml:space="preserve">Cushman, D., (1983) The effects of real exchange rate risk on international trade, </w:t>
      </w:r>
      <w:r w:rsidRPr="00A42ABF">
        <w:rPr>
          <w:i/>
        </w:rPr>
        <w:t>Journal of International Economics</w:t>
      </w:r>
      <w:r w:rsidRPr="00A42ABF">
        <w:t>, 15, 45-63.</w:t>
      </w:r>
    </w:p>
    <w:p w:rsidR="00D846E2" w:rsidRDefault="00D846E2" w:rsidP="00D846E2"/>
    <w:p w:rsidR="00302751" w:rsidRDefault="00302751" w:rsidP="00D846E2">
      <w:r>
        <w:lastRenderedPageBreak/>
        <w:t xml:space="preserve">Edison, H., and Melvin, M., (1990), The determinants and the implication of the choice of an exchange rate system, </w:t>
      </w:r>
      <w:r w:rsidRPr="00302751">
        <w:rPr>
          <w:i/>
        </w:rPr>
        <w:t>In Monetary Policy for a Volatile Economy</w:t>
      </w:r>
      <w:r>
        <w:t>, Ed. W.S., Haraf and T.D., Willet, ACI Press, Washington, D.C.</w:t>
      </w:r>
    </w:p>
    <w:p w:rsidR="00302751" w:rsidRDefault="00302751" w:rsidP="00D846E2"/>
    <w:p w:rsidR="004D2B98" w:rsidRDefault="004D2B98" w:rsidP="00D846E2">
      <w:r>
        <w:t xml:space="preserve">Edward, S., (1999) The Choice of Exchange Risk Regime in Developing and Middle Income Countries, in </w:t>
      </w:r>
      <w:r w:rsidRPr="004D2B98">
        <w:rPr>
          <w:i/>
        </w:rPr>
        <w:t>Change in Exchange Rate in Rapidly Development Countries: Theory, Practice, and Policy Issues</w:t>
      </w:r>
      <w:r>
        <w:t>, Ed. T. Ito and A.O., Krueger, NBER-EASE, 7: 9-27, University of Chicago Press.</w:t>
      </w:r>
    </w:p>
    <w:p w:rsidR="004D2B98" w:rsidRDefault="004D2B98" w:rsidP="00D846E2"/>
    <w:p w:rsidR="00751264" w:rsidRDefault="00751264" w:rsidP="00D846E2">
      <w:r>
        <w:t xml:space="preserve">Engel, C., and Wang, J., (2007), “International trade in durable goods: understanding volatility, cyclicality, and elastics”, </w:t>
      </w:r>
      <w:r w:rsidRPr="008F7FAF">
        <w:rPr>
          <w:i/>
        </w:rPr>
        <w:t>Globalization and Monetary Policy Institute Working Paper 03</w:t>
      </w:r>
      <w:r>
        <w:t>, Federal Research Bank of Dallas.</w:t>
      </w:r>
    </w:p>
    <w:p w:rsidR="00751264" w:rsidRDefault="00751264" w:rsidP="00751264"/>
    <w:p w:rsidR="00D846E2" w:rsidRDefault="00D846E2" w:rsidP="00D846E2">
      <w:r w:rsidRPr="00A42ABF">
        <w:t xml:space="preserve">Franke, G., (1991) Exchange rate volatility and international trading strategy, </w:t>
      </w:r>
      <w:r w:rsidRPr="00A42ABF">
        <w:rPr>
          <w:i/>
        </w:rPr>
        <w:t>Journal of International Money and Finance</w:t>
      </w:r>
      <w:r w:rsidRPr="00A42ABF">
        <w:t>, 10, 292-307.</w:t>
      </w:r>
    </w:p>
    <w:p w:rsidR="00D846E2" w:rsidRDefault="00D846E2" w:rsidP="00D846E2"/>
    <w:p w:rsidR="00CB4F45" w:rsidRDefault="00CB4F45" w:rsidP="00D846E2">
      <w:r w:rsidRPr="00A42ABF">
        <w:t xml:space="preserve">Fullerton, T.M., and Sprinkle, R.L., (2005), “An Error Correction Analysis of U.S.-Mexico Trade Flows,” </w:t>
      </w:r>
      <w:r w:rsidRPr="00A42ABF">
        <w:rPr>
          <w:i/>
        </w:rPr>
        <w:t>International Trade Journal</w:t>
      </w:r>
      <w:r w:rsidRPr="00A42ABF">
        <w:t>, 19(2), pp. 179-192.</w:t>
      </w:r>
    </w:p>
    <w:p w:rsidR="00CB4F45" w:rsidRDefault="00CB4F45" w:rsidP="00D846E2"/>
    <w:p w:rsidR="00751264" w:rsidRDefault="00751264" w:rsidP="00751264">
      <w:r>
        <w:t xml:space="preserve">Grier, K.B., and Smallwood, A.D., (2007), “Uncertainty and export performance: Evidence from 18 countries, </w:t>
      </w:r>
      <w:r w:rsidRPr="00751264">
        <w:rPr>
          <w:i/>
        </w:rPr>
        <w:t>Journal of Money, Credit and Banking</w:t>
      </w:r>
      <w:r>
        <w:t>, 39:965-979.</w:t>
      </w:r>
    </w:p>
    <w:p w:rsidR="00751264" w:rsidRPr="00A42ABF" w:rsidRDefault="00751264" w:rsidP="00751264"/>
    <w:p w:rsidR="00D846E2" w:rsidRPr="00A42ABF" w:rsidRDefault="00D846E2" w:rsidP="00D846E2">
      <w:r w:rsidRPr="00A42ABF">
        <w:t xml:space="preserve">Hamilton, J. (1994), Time Series Analysis, </w:t>
      </w:r>
      <w:r w:rsidRPr="00A42ABF">
        <w:rPr>
          <w:i/>
        </w:rPr>
        <w:t>Princeton University Press</w:t>
      </w:r>
      <w:r w:rsidRPr="00A42ABF">
        <w:t>, Princeton, N.J.</w:t>
      </w:r>
    </w:p>
    <w:p w:rsidR="00D846E2" w:rsidRDefault="00D846E2"/>
    <w:p w:rsidR="00B02E21" w:rsidRPr="00A42ABF" w:rsidRDefault="00B02E21">
      <w:r w:rsidRPr="00A42ABF">
        <w:t>Hoffmaister, A. W.</w:t>
      </w:r>
      <w:r w:rsidR="00C569F4" w:rsidRPr="00A42ABF">
        <w:t>, and J. E. Roldos, (1997),</w:t>
      </w:r>
      <w:r w:rsidRPr="00A42ABF">
        <w:t xml:space="preserve"> ‘Are business cycles different in Asia and Latin America?’ </w:t>
      </w:r>
      <w:r w:rsidRPr="00A42ABF">
        <w:rPr>
          <w:i/>
        </w:rPr>
        <w:t>IMF Working Paper</w:t>
      </w:r>
      <w:r w:rsidRPr="00A42ABF">
        <w:t xml:space="preserve"> 97/9, International Monetary Fund, Washington.</w:t>
      </w:r>
    </w:p>
    <w:p w:rsidR="00D846E2" w:rsidRDefault="00D846E2" w:rsidP="00D846E2"/>
    <w:p w:rsidR="00302751" w:rsidRDefault="00302751" w:rsidP="00D846E2">
      <w:r>
        <w:t xml:space="preserve">Huchet-Bourdon, M., and Korinek, J., (2011), “To what extent do exchange rate and their volatility affect trade?”, </w:t>
      </w:r>
      <w:r w:rsidRPr="00E225BF">
        <w:rPr>
          <w:i/>
        </w:rPr>
        <w:t>OECD Trade</w:t>
      </w:r>
      <w:r w:rsidR="00E225BF" w:rsidRPr="00E225BF">
        <w:rPr>
          <w:i/>
        </w:rPr>
        <w:t xml:space="preserve"> Policy Working Paper No. 119</w:t>
      </w:r>
      <w:r w:rsidR="00E225BF">
        <w:t>, pp. 1-45, 10 October.</w:t>
      </w:r>
    </w:p>
    <w:p w:rsidR="00302751" w:rsidRPr="00A42ABF" w:rsidRDefault="00302751" w:rsidP="00D846E2"/>
    <w:p w:rsidR="00B96DD8" w:rsidRPr="00A42ABF" w:rsidRDefault="00B96DD8">
      <w:r w:rsidRPr="00A42ABF">
        <w:t xml:space="preserve">Jeogn, J. and G. S. Maddela, (1993), A Perspective on Application of Bootstrap Methods in Econometrics, in Maddala, G. S., Rao, C. R., and Vinod, H. D. (Eds.), </w:t>
      </w:r>
      <w:r w:rsidRPr="00A42ABF">
        <w:rPr>
          <w:i/>
        </w:rPr>
        <w:t>Handbook of Statistics</w:t>
      </w:r>
      <w:r w:rsidRPr="00A42ABF">
        <w:t>, Vol. 11, New York: North-Holland, 573-610.</w:t>
      </w:r>
    </w:p>
    <w:p w:rsidR="00B96DD8" w:rsidRDefault="00B96DD8"/>
    <w:p w:rsidR="00CB4F45" w:rsidRDefault="00CB4F45">
      <w:r>
        <w:t xml:space="preserve">Johansen, S., (1991), “Estimation of Hypothesis Testing of Cointegration Vectors in Gaussian Vector Autoregressive Model”, </w:t>
      </w:r>
      <w:r w:rsidRPr="00CB4F45">
        <w:rPr>
          <w:i/>
        </w:rPr>
        <w:t>Econometrica</w:t>
      </w:r>
      <w:r>
        <w:t>, 59: 1551-1580.</w:t>
      </w:r>
    </w:p>
    <w:p w:rsidR="00CB4F45" w:rsidRDefault="00CB4F45"/>
    <w:p w:rsidR="00CB4F45" w:rsidRDefault="00CB4F45">
      <w:r>
        <w:t xml:space="preserve">Kenen, P.B., and Rodrik, D., (1980), “Measuring and Analyzing the Effects of Short-term Volatility in Real Exchange rates”, </w:t>
      </w:r>
      <w:r w:rsidRPr="00CB4F45">
        <w:rPr>
          <w:i/>
        </w:rPr>
        <w:t>Review of Economics and Statistics</w:t>
      </w:r>
      <w:r>
        <w:t>, 68: 311-315.</w:t>
      </w:r>
    </w:p>
    <w:p w:rsidR="00CB4F45" w:rsidRPr="00A42ABF" w:rsidRDefault="00CB4F45">
      <w:r>
        <w:t xml:space="preserve"> </w:t>
      </w:r>
    </w:p>
    <w:p w:rsidR="00B02E21" w:rsidRPr="00A42ABF" w:rsidRDefault="00B02E21">
      <w:r w:rsidRPr="00A42ABF">
        <w:t xml:space="preserve">King, R. G., G. H. Plosser, Stock, </w:t>
      </w:r>
      <w:r w:rsidR="00C569F4" w:rsidRPr="00A42ABF">
        <w:t xml:space="preserve">J. H. </w:t>
      </w:r>
      <w:r w:rsidRPr="00A42ABF">
        <w:t xml:space="preserve">and Watson, </w:t>
      </w:r>
      <w:r w:rsidR="00C569F4" w:rsidRPr="00A42ABF">
        <w:t xml:space="preserve">M. W., </w:t>
      </w:r>
      <w:r w:rsidRPr="00A42ABF">
        <w:t xml:space="preserve">(1991), ‘Stochastic Trends and Economic Fluctuations’, </w:t>
      </w:r>
      <w:r w:rsidRPr="00A42ABF">
        <w:rPr>
          <w:i/>
        </w:rPr>
        <w:t>American Economic Review</w:t>
      </w:r>
      <w:r w:rsidRPr="00A42ABF">
        <w:t>, 81: 819-40, September.</w:t>
      </w:r>
    </w:p>
    <w:p w:rsidR="00B02E21" w:rsidRPr="00A42ABF" w:rsidRDefault="00B02E21"/>
    <w:p w:rsidR="00C569F4" w:rsidRPr="00A42ABF" w:rsidRDefault="00C569F4">
      <w:r w:rsidRPr="00A42ABF">
        <w:lastRenderedPageBreak/>
        <w:t xml:space="preserve">Lee, K.C. and Pesaran, M.H., </w:t>
      </w:r>
      <w:r w:rsidR="00B96DD8" w:rsidRPr="00A42ABF">
        <w:t xml:space="preserve">(1993), “The Role of Sectoral Interactions in Wage Determination in the UK Economy,” </w:t>
      </w:r>
      <w:r w:rsidR="00B96DD8" w:rsidRPr="00A42ABF">
        <w:rPr>
          <w:i/>
        </w:rPr>
        <w:t>Economic Journal</w:t>
      </w:r>
      <w:r w:rsidR="00B96DD8" w:rsidRPr="00A42ABF">
        <w:t>, Royal Economic Society, 103 (416), pp. 21-55, January.</w:t>
      </w:r>
    </w:p>
    <w:p w:rsidR="00CB4F45" w:rsidRDefault="00CB4F45"/>
    <w:p w:rsidR="00E225BF" w:rsidRDefault="00E225BF">
      <w:r>
        <w:t xml:space="preserve">McKenzie, M.D., (1999), “The impact of exchange rate volatility on international trade flows”, </w:t>
      </w:r>
      <w:r w:rsidRPr="00E225BF">
        <w:rPr>
          <w:i/>
        </w:rPr>
        <w:t>Journal of Economic Surveys</w:t>
      </w:r>
      <w:r>
        <w:t>, 13(1), pp. 71-106, February.</w:t>
      </w:r>
    </w:p>
    <w:p w:rsidR="00E225BF" w:rsidRDefault="00E225BF"/>
    <w:p w:rsidR="00CB4F45" w:rsidRDefault="00CB4F45">
      <w:r w:rsidRPr="00A42ABF">
        <w:t xml:space="preserve">Murray, T., and Ginman, P., (1976), “An Empirical Examination of the Traditional Import Demand Model,” </w:t>
      </w:r>
      <w:r w:rsidRPr="00A42ABF">
        <w:rPr>
          <w:i/>
        </w:rPr>
        <w:t>Review of Economic and Statistics</w:t>
      </w:r>
      <w:r w:rsidRPr="00A42ABF">
        <w:t>, 58:75-80.</w:t>
      </w:r>
    </w:p>
    <w:p w:rsidR="00CB4F45" w:rsidRPr="00A42ABF" w:rsidRDefault="00CB4F45"/>
    <w:p w:rsidR="00D846E2" w:rsidRDefault="00D846E2">
      <w:r w:rsidRPr="00A42ABF">
        <w:t xml:space="preserve">Obstfeld, M., and Rogoff, K., (2003) Risk and exchange rates, in Helpman, E., Sadka, E., (ed.), </w:t>
      </w:r>
      <w:r w:rsidRPr="00A42ABF">
        <w:rPr>
          <w:i/>
        </w:rPr>
        <w:t>Contemporary Economic Policy: Eassays in Honor of Assaf Razin</w:t>
      </w:r>
      <w:r w:rsidRPr="00A42ABF">
        <w:t>, Cambridge University Press, pp. 401-451.</w:t>
      </w:r>
    </w:p>
    <w:p w:rsidR="00D846E2" w:rsidRDefault="00D846E2"/>
    <w:p w:rsidR="00B02E21" w:rsidRPr="00A42ABF" w:rsidRDefault="00B02E21">
      <w:r w:rsidRPr="00A42ABF">
        <w:t xml:space="preserve">Runkle, D. E. (1987), ‘Vector Autoregressions and Reality’, </w:t>
      </w:r>
      <w:r w:rsidRPr="00A42ABF">
        <w:rPr>
          <w:i/>
        </w:rPr>
        <w:t>Journal of Business and Economic Strategies</w:t>
      </w:r>
      <w:r w:rsidRPr="00A42ABF">
        <w:t>, 5 (4), 437-442.</w:t>
      </w:r>
    </w:p>
    <w:p w:rsidR="00B02E21" w:rsidRPr="00A42ABF" w:rsidRDefault="00B02E21"/>
    <w:p w:rsidR="00B02E21" w:rsidRPr="00A42ABF" w:rsidRDefault="00B96DD8">
      <w:r w:rsidRPr="00A42ABF">
        <w:t xml:space="preserve">Pesaran, H.M., and Shin, Y., (1995), “Long-Run Structural Modelling,” </w:t>
      </w:r>
      <w:r w:rsidRPr="00A42ABF">
        <w:rPr>
          <w:i/>
        </w:rPr>
        <w:t>Cambridge Working Papers in Economics</w:t>
      </w:r>
      <w:r w:rsidRPr="00A42ABF">
        <w:t xml:space="preserve"> 9419, Faculty of Economics, University of Cambridge.</w:t>
      </w:r>
    </w:p>
    <w:p w:rsidR="006D6F50" w:rsidRDefault="006D6F50" w:rsidP="006D6F50"/>
    <w:p w:rsidR="006D6F50" w:rsidRDefault="006D6F50" w:rsidP="006D6F50">
      <w:r>
        <w:t xml:space="preserve">Sauer, C., and Bohara, A., (2001), “Exchange Rate Volatility and Exports: Regional Differences between Developing and Industrialized Countries”, </w:t>
      </w:r>
      <w:r w:rsidRPr="006D6F50">
        <w:rPr>
          <w:i/>
        </w:rPr>
        <w:t>Review of International Economics</w:t>
      </w:r>
      <w:r>
        <w:t>, 9:133-152.</w:t>
      </w:r>
    </w:p>
    <w:p w:rsidR="00B02E21" w:rsidRDefault="00B02E21"/>
    <w:p w:rsidR="00CB4F45" w:rsidRDefault="00CB4F45">
      <w:r w:rsidRPr="00A42ABF">
        <w:t xml:space="preserve">Sawyer, W.C., and Sprinkle, R.L., (1996), “The Demand for Imports and Exports in the U.S.: A Survey,” </w:t>
      </w:r>
      <w:r w:rsidRPr="00A42ABF">
        <w:rPr>
          <w:i/>
        </w:rPr>
        <w:t>Journal of Economics and Finance</w:t>
      </w:r>
      <w:r w:rsidRPr="00A42ABF">
        <w:t>, 20:147-178.</w:t>
      </w:r>
    </w:p>
    <w:p w:rsidR="00CB4F45" w:rsidRDefault="00CB4F45"/>
    <w:p w:rsidR="00D846E2" w:rsidRPr="00A42ABF" w:rsidRDefault="00D846E2" w:rsidP="00D846E2">
      <w:r w:rsidRPr="00A42ABF">
        <w:t xml:space="preserve">Sercu, P., and Vanhulle, C., (1992) Exchange rate volatility, international trade, and the value of exporting firms, </w:t>
      </w:r>
      <w:r w:rsidRPr="00A42ABF">
        <w:rPr>
          <w:i/>
        </w:rPr>
        <w:t>Journal of Banking and Finance</w:t>
      </w:r>
      <w:r w:rsidRPr="00A42ABF">
        <w:t>, 16, 152-182.</w:t>
      </w:r>
    </w:p>
    <w:p w:rsidR="00D846E2" w:rsidRPr="00A42ABF" w:rsidRDefault="00D846E2"/>
    <w:p w:rsidR="00AD4C01" w:rsidRPr="00A42ABF" w:rsidRDefault="00AD4C01">
      <w:r w:rsidRPr="00A42ABF">
        <w:t>Sims, C.A., (1986), “Are Forecasting Model Usable for Policy Analysis?,”</w:t>
      </w:r>
      <w:r w:rsidR="00E06F0E" w:rsidRPr="00A42ABF">
        <w:t xml:space="preserve"> </w:t>
      </w:r>
      <w:r w:rsidRPr="00A42ABF">
        <w:rPr>
          <w:i/>
        </w:rPr>
        <w:t>Quarterly Review</w:t>
      </w:r>
      <w:r w:rsidRPr="00A42ABF">
        <w:t>, Federal Reserve Bank of Minneapolis, pp. 2-16.</w:t>
      </w:r>
    </w:p>
    <w:p w:rsidR="00CB4F45" w:rsidRDefault="00CB4F45"/>
    <w:p w:rsidR="00CB4F45" w:rsidRDefault="00CB4F45">
      <w:r>
        <w:t xml:space="preserve">Thursby, J.G., and Thursby, M.C., (1987), “Bilateral Trade Flows, The Linder Hypothesis and Exchange Risk”, </w:t>
      </w:r>
      <w:r w:rsidRPr="00CB4F45">
        <w:rPr>
          <w:i/>
        </w:rPr>
        <w:t>Review of Economics and Statistics</w:t>
      </w:r>
      <w:r w:rsidRPr="00CB4F45">
        <w:t xml:space="preserve">, </w:t>
      </w:r>
      <w:r>
        <w:t>69:488-495.</w:t>
      </w:r>
    </w:p>
    <w:p w:rsidR="00CB4F45" w:rsidRDefault="00CB4F45"/>
    <w:p w:rsidR="00BB5CD3" w:rsidRDefault="00B96DD8">
      <w:r w:rsidRPr="00A42ABF">
        <w:t xml:space="preserve">Watson, M.W., (1986), “Univariate Detrending Methods with Stochastic Trend,” </w:t>
      </w:r>
      <w:r w:rsidRPr="00A42ABF">
        <w:rPr>
          <w:i/>
        </w:rPr>
        <w:t>Journal of Monetary Economics</w:t>
      </w:r>
      <w:r w:rsidRPr="00A42ABF">
        <w:t>, 18, 49-75.</w:t>
      </w:r>
    </w:p>
    <w:p w:rsidR="00751264" w:rsidRDefault="00751264"/>
    <w:p w:rsidR="00751264" w:rsidRDefault="00751264" w:rsidP="00751264">
      <w:r>
        <w:t xml:space="preserve">Wei, S.J., (1999), “Currency hedging and good trade”, </w:t>
      </w:r>
      <w:r w:rsidRPr="0032756B">
        <w:rPr>
          <w:i/>
        </w:rPr>
        <w:t>European Economic Review</w:t>
      </w:r>
      <w:r>
        <w:t>, 43:1371-1394.</w:t>
      </w:r>
    </w:p>
    <w:p w:rsidR="00751264" w:rsidRPr="001013CB" w:rsidRDefault="001013CB" w:rsidP="001013CB">
      <w:pPr>
        <w:jc w:val="center"/>
        <w:rPr>
          <w:b/>
        </w:rPr>
      </w:pPr>
      <w:r>
        <w:br w:type="page"/>
      </w:r>
      <w:r w:rsidRPr="001013CB">
        <w:rPr>
          <w:b/>
        </w:rPr>
        <w:lastRenderedPageBreak/>
        <w:t>APPENDIX</w:t>
      </w:r>
    </w:p>
    <w:p w:rsidR="001013CB" w:rsidRDefault="001013CB" w:rsidP="001013CB"/>
    <w:p w:rsidR="001013CB" w:rsidRPr="00A20A97" w:rsidRDefault="001013CB" w:rsidP="001013CB">
      <w:pPr>
        <w:autoSpaceDE w:val="0"/>
        <w:autoSpaceDN w:val="0"/>
        <w:adjustRightInd w:val="0"/>
        <w:rPr>
          <w:rFonts w:ascii="Arial" w:hAnsi="Arial" w:cs="Arial"/>
          <w:sz w:val="18"/>
          <w:szCs w:val="18"/>
        </w:rPr>
      </w:pPr>
    </w:p>
    <w:p w:rsidR="001013CB" w:rsidRPr="00817DEA" w:rsidRDefault="001013CB" w:rsidP="00817DEA">
      <w:pPr>
        <w:autoSpaceDE w:val="0"/>
        <w:autoSpaceDN w:val="0"/>
        <w:adjustRightInd w:val="0"/>
        <w:jc w:val="center"/>
        <w:rPr>
          <w:rFonts w:ascii="Arial" w:hAnsi="Arial" w:cs="Arial"/>
          <w:b/>
          <w:sz w:val="18"/>
          <w:szCs w:val="18"/>
        </w:rPr>
      </w:pPr>
      <w:r w:rsidRPr="00817DEA">
        <w:rPr>
          <w:rFonts w:ascii="Arial" w:hAnsi="Arial" w:cs="Arial"/>
          <w:b/>
          <w:sz w:val="18"/>
          <w:szCs w:val="18"/>
        </w:rPr>
        <w:t>Descriptive Statistics of Variables in the Model</w:t>
      </w:r>
    </w:p>
    <w:p w:rsidR="00817DEA" w:rsidRDefault="00817DEA" w:rsidP="001013CB">
      <w:pPr>
        <w:autoSpaceDE w:val="0"/>
        <w:autoSpaceDN w:val="0"/>
        <w:adjustRightInd w:val="0"/>
        <w:rPr>
          <w:rFonts w:ascii="Arial" w:hAnsi="Arial" w:cs="Arial"/>
          <w:sz w:val="18"/>
          <w:szCs w:val="18"/>
        </w:rPr>
      </w:pPr>
    </w:p>
    <w:tbl>
      <w:tblPr>
        <w:tblpPr w:leftFromText="180" w:rightFromText="180" w:vertAnchor="text" w:horzAnchor="margin" w:tblpY="134"/>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8"/>
        <w:gridCol w:w="767"/>
        <w:gridCol w:w="784"/>
        <w:gridCol w:w="750"/>
        <w:gridCol w:w="767"/>
        <w:gridCol w:w="750"/>
        <w:gridCol w:w="784"/>
        <w:gridCol w:w="767"/>
        <w:gridCol w:w="750"/>
        <w:gridCol w:w="767"/>
        <w:gridCol w:w="750"/>
      </w:tblGrid>
      <w:tr w:rsidR="00E27249" w:rsidRPr="00E27249" w:rsidTr="00E27249">
        <w:trPr>
          <w:trHeight w:val="255"/>
        </w:trPr>
        <w:tc>
          <w:tcPr>
            <w:tcW w:w="557"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NX</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NM</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NEXV</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NGDP</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NWP</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IX</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IM</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IEXV</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IGDP</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IWP</w:t>
            </w: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Mean</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2011.687</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464.2320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23.33385</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4221.631</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96.24136</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441.4513</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1848.560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15.10476</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19430.79</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66.93479</w:t>
            </w: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Median</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568.5660</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158.2670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-48.66700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1773.654</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85.68000</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143.8790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80.37500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19.64900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9996.900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59.29100</w:t>
            </w: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Maximum</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12499.87</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2917.765</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482.9180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17388.57</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200.9650</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2625.514</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13749.85</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37.72900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81489.52</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149.0670</w:t>
            </w: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Minimum</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0.001000</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0.001000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-97.46800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42.53500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47.12700</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0.001000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0.360000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-7.624000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1145.090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16.89200</w:t>
            </w: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Std. Dev.</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3214.812</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690.3841</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154.2977</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5405.164</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38.63997</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618.4613</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3457.087</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15.53079</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21661.83</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38.49493</w:t>
            </w: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Skewness</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1.864936</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2.085397</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1.658946</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1.162929</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1.274203</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1.992629</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2.097248</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-0.230818</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1.380803</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0.344609</w:t>
            </w: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Kurtosis</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5.614068</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6.784162</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4.630770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3.016819</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4.122660</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6.588858</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6.450264</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1.432281</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4.051881</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1.972043</w:t>
            </w:r>
          </w:p>
        </w:tc>
      </w:tr>
      <w:tr w:rsidR="00E27249" w:rsidRPr="00E27249" w:rsidTr="00E27249">
        <w:trPr>
          <w:trHeight w:val="255"/>
        </w:trPr>
        <w:tc>
          <w:tcPr>
            <w:tcW w:w="557"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Jarque-Bera</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28.52478</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43.60867</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18.79325</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7.438610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10.66276</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39.54799</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40.55992</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3.672419</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12.00777</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2.106109</w:t>
            </w: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Probability</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0.000001</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0.000000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0.000083</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0.024251</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0.004837</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0.000000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0.000000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0.159421</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0.002469</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0.348870</w:t>
            </w:r>
          </w:p>
        </w:tc>
      </w:tr>
      <w:tr w:rsidR="00E27249" w:rsidRPr="00E27249" w:rsidTr="00E27249">
        <w:trPr>
          <w:trHeight w:val="255"/>
        </w:trPr>
        <w:tc>
          <w:tcPr>
            <w:tcW w:w="557"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Sum</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66385.66</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15319.65</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770.0170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139313.8</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3175.965</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14567.89</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61002.48</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498.4570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641215.9</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2208.848</w:t>
            </w: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Sum Sq. Dev.</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3.31E+08</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15252167</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761849.1</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9.35E+08</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47777.52</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12239822</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3.82E+08</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7718.570</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1.50E+10</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47419.50</w:t>
            </w:r>
          </w:p>
        </w:tc>
      </w:tr>
      <w:tr w:rsidR="00E27249" w:rsidRPr="00E27249" w:rsidTr="00E27249">
        <w:trPr>
          <w:trHeight w:val="255"/>
        </w:trPr>
        <w:tc>
          <w:tcPr>
            <w:tcW w:w="557"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p>
        </w:tc>
      </w:tr>
      <w:tr w:rsidR="00E27249" w:rsidRPr="00E27249" w:rsidTr="00E27249">
        <w:trPr>
          <w:trHeight w:val="255"/>
        </w:trPr>
        <w:tc>
          <w:tcPr>
            <w:tcW w:w="557" w:type="pct"/>
          </w:tcPr>
          <w:p w:rsidR="00E27249" w:rsidRPr="00E27249" w:rsidRDefault="00E27249" w:rsidP="00E27249">
            <w:pPr>
              <w:autoSpaceDE w:val="0"/>
              <w:autoSpaceDN w:val="0"/>
              <w:adjustRightInd w:val="0"/>
              <w:rPr>
                <w:rFonts w:ascii="Arial" w:eastAsiaTheme="minorHAnsi" w:hAnsi="Arial" w:cs="Arial"/>
                <w:color w:val="000000"/>
                <w:sz w:val="12"/>
                <w:szCs w:val="16"/>
              </w:rPr>
            </w:pPr>
            <w:r w:rsidRPr="00E27249">
              <w:rPr>
                <w:rFonts w:ascii="Arial" w:eastAsiaTheme="minorHAnsi" w:hAnsi="Arial" w:cs="Arial"/>
                <w:color w:val="000000"/>
                <w:sz w:val="12"/>
                <w:szCs w:val="16"/>
              </w:rPr>
              <w:t> Observations</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c>
          <w:tcPr>
            <w:tcW w:w="45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c>
          <w:tcPr>
            <w:tcW w:w="44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c>
          <w:tcPr>
            <w:tcW w:w="436" w:type="pct"/>
          </w:tcPr>
          <w:p w:rsidR="00E27249" w:rsidRPr="00E27249" w:rsidRDefault="00E27249" w:rsidP="00E27249">
            <w:pPr>
              <w:autoSpaceDE w:val="0"/>
              <w:autoSpaceDN w:val="0"/>
              <w:adjustRightInd w:val="0"/>
              <w:jc w:val="center"/>
              <w:rPr>
                <w:rFonts w:ascii="Arial" w:eastAsiaTheme="minorHAnsi" w:hAnsi="Arial" w:cs="Arial"/>
                <w:color w:val="000000"/>
                <w:sz w:val="12"/>
                <w:szCs w:val="16"/>
              </w:rPr>
            </w:pPr>
            <w:r w:rsidRPr="00E27249">
              <w:rPr>
                <w:rFonts w:ascii="Arial" w:eastAsiaTheme="minorHAnsi" w:hAnsi="Arial" w:cs="Arial"/>
                <w:color w:val="000000"/>
                <w:sz w:val="12"/>
                <w:szCs w:val="16"/>
              </w:rPr>
              <w:t> 33</w:t>
            </w:r>
          </w:p>
        </w:tc>
      </w:tr>
    </w:tbl>
    <w:p w:rsidR="001013CB" w:rsidRDefault="001013CB" w:rsidP="001013CB">
      <w:pPr>
        <w:autoSpaceDE w:val="0"/>
        <w:autoSpaceDN w:val="0"/>
        <w:adjustRightInd w:val="0"/>
        <w:rPr>
          <w:rFonts w:ascii="Arial" w:hAnsi="Arial" w:cs="Arial"/>
          <w:sz w:val="18"/>
          <w:szCs w:val="18"/>
        </w:rPr>
      </w:pPr>
    </w:p>
    <w:p w:rsidR="001013CB" w:rsidRPr="0090377C" w:rsidRDefault="001013CB" w:rsidP="001013CB">
      <w:pPr>
        <w:autoSpaceDE w:val="0"/>
        <w:autoSpaceDN w:val="0"/>
        <w:adjustRightInd w:val="0"/>
        <w:spacing w:line="400" w:lineRule="atLeast"/>
      </w:pPr>
    </w:p>
    <w:p w:rsidR="00E27249" w:rsidRDefault="00817DEA" w:rsidP="00015A79">
      <w:r>
        <w:br w:type="page"/>
      </w:r>
      <w:r w:rsidR="00015A79">
        <w:lastRenderedPageBreak/>
        <w:t xml:space="preserve"> </w:t>
      </w:r>
    </w:p>
    <w:p w:rsidR="001013CB" w:rsidRDefault="001013CB" w:rsidP="001013CB">
      <w:r>
        <w:t>Group Unit Root Test-The Second Difference Value of Variables in the Model with Intercept and No Trend</w:t>
      </w:r>
    </w:p>
    <w:p w:rsidR="001013CB" w:rsidRDefault="001013CB" w:rsidP="001013CB">
      <w:pPr>
        <w:autoSpaceDE w:val="0"/>
        <w:autoSpaceDN w:val="0"/>
        <w:adjustRightInd w:val="0"/>
        <w:rPr>
          <w:rFonts w:ascii="Arial" w:hAnsi="Arial" w:cs="Arial"/>
          <w:sz w:val="18"/>
          <w:szCs w:val="18"/>
        </w:rPr>
      </w:pPr>
    </w:p>
    <w:tbl>
      <w:tblPr>
        <w:tblW w:w="0" w:type="auto"/>
        <w:tblInd w:w="60" w:type="dxa"/>
        <w:tblLayout w:type="fixed"/>
        <w:tblCellMar>
          <w:left w:w="30" w:type="dxa"/>
          <w:right w:w="30" w:type="dxa"/>
        </w:tblCellMar>
        <w:tblLook w:val="0000"/>
      </w:tblPr>
      <w:tblGrid>
        <w:gridCol w:w="1472"/>
        <w:gridCol w:w="1039"/>
        <w:gridCol w:w="924"/>
        <w:gridCol w:w="693"/>
        <w:gridCol w:w="693"/>
        <w:gridCol w:w="693"/>
        <w:gridCol w:w="693"/>
        <w:gridCol w:w="751"/>
      </w:tblGrid>
      <w:tr w:rsidR="001013CB" w:rsidTr="00AB501F">
        <w:trPr>
          <w:trHeight w:val="255"/>
        </w:trPr>
        <w:tc>
          <w:tcPr>
            <w:tcW w:w="1472" w:type="dxa"/>
            <w:gridSpan w:val="7"/>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Null Hypothesis: Unit root (individual unit root process) </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7"/>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Series: DDIGDP, DDIWP, DDNEX, DDNEXV, DDNGDP, DDNM, DDNWP,</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DDNX</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Date: 09/17/12   Time: 00:30</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Sample: 1979 2011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5"/>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Exogenous variables: Individual effects</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5"/>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Automatic selection of maximum lags</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6"/>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Automatic selection of lags based on SIC: 0 to 7</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5"/>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Total number of observations: 217</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Cross-sections included: 8</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1472"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hRule="exact" w:val="153"/>
        </w:trPr>
        <w:tc>
          <w:tcPr>
            <w:tcW w:w="1472"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val="255"/>
        </w:trPr>
        <w:tc>
          <w:tcPr>
            <w:tcW w:w="1472" w:type="dxa"/>
            <w:gridSpan w:val="2"/>
            <w:tcBorders>
              <w:top w:val="nil"/>
              <w:left w:val="nil"/>
              <w:bottom w:val="single" w:sz="6" w:space="0"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Method</w:t>
            </w:r>
          </w:p>
        </w:tc>
        <w:tc>
          <w:tcPr>
            <w:tcW w:w="924"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Statistic</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Prob.**</w:t>
            </w:r>
          </w:p>
        </w:tc>
      </w:tr>
      <w:tr w:rsidR="001013CB" w:rsidTr="00AB501F">
        <w:trPr>
          <w:trHeight w:val="255"/>
        </w:trPr>
        <w:tc>
          <w:tcPr>
            <w:tcW w:w="1472"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Im, Pesaran and Shin W-stat </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-8.54165</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w:t>
            </w:r>
          </w:p>
        </w:tc>
      </w:tr>
      <w:tr w:rsidR="001013CB" w:rsidTr="00AB501F">
        <w:trPr>
          <w:trHeight w:hRule="exact" w:val="102"/>
        </w:trPr>
        <w:tc>
          <w:tcPr>
            <w:tcW w:w="1472"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hRule="exact" w:val="153"/>
        </w:trPr>
        <w:tc>
          <w:tcPr>
            <w:tcW w:w="1472"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val="255"/>
        </w:trPr>
        <w:tc>
          <w:tcPr>
            <w:tcW w:w="1472" w:type="dxa"/>
            <w:gridSpan w:val="7"/>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Probabilities are computed assuming asympotic normality</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Intermediate ADF test results</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1472"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hRule="exact" w:val="153"/>
        </w:trPr>
        <w:tc>
          <w:tcPr>
            <w:tcW w:w="1472"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Max</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Series</w:t>
            </w:r>
          </w:p>
        </w:tc>
        <w:tc>
          <w:tcPr>
            <w:tcW w:w="1039"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t-Stat</w:t>
            </w:r>
          </w:p>
        </w:tc>
        <w:tc>
          <w:tcPr>
            <w:tcW w:w="924"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Prob.</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E(t)</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E(Var)</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Lag</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Lag</w:t>
            </w:r>
          </w:p>
        </w:tc>
        <w:tc>
          <w:tcPr>
            <w:tcW w:w="751"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Obs</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-7.4726</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-1.518</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0.837</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-6.9718</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-1.453</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0.881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-4.9721</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-1.526</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0.789</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-4.9721</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-1.526</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0.789</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-5.8439</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-1.453</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0.881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-0.1828</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-1.279</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1.139</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-5.1085</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-1.351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1.055</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w:t>
            </w:r>
          </w:p>
        </w:tc>
      </w:tr>
      <w:tr w:rsidR="001013CB" w:rsidTr="00AB501F">
        <w:trPr>
          <w:trHeight w:val="255"/>
        </w:trPr>
        <w:tc>
          <w:tcPr>
            <w:tcW w:w="1472"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039"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0.6670</w:t>
            </w:r>
          </w:p>
        </w:tc>
        <w:tc>
          <w:tcPr>
            <w:tcW w:w="924"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-1.259</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1.193</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751"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Average</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-4.3571</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-1.421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0.945</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1472"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hRule="exact" w:val="153"/>
        </w:trPr>
        <w:tc>
          <w:tcPr>
            <w:tcW w:w="1472"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val="255"/>
        </w:trPr>
        <w:tc>
          <w:tcPr>
            <w:tcW w:w="1472" w:type="dxa"/>
            <w:gridSpan w:val="8"/>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Warning: for some series the expected mean and variance for the given lag</w:t>
            </w:r>
          </w:p>
        </w:tc>
      </w:tr>
      <w:tr w:rsidR="001013CB" w:rsidTr="00AB501F">
        <w:trPr>
          <w:trHeight w:val="255"/>
        </w:trPr>
        <w:tc>
          <w:tcPr>
            <w:tcW w:w="1472" w:type="dxa"/>
            <w:gridSpan w:val="7"/>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and observation are not covered in IPS paper</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bl>
    <w:p w:rsidR="001013CB" w:rsidRDefault="001013CB" w:rsidP="001013CB">
      <w:r>
        <w:rPr>
          <w:rFonts w:ascii="Arial" w:hAnsi="Arial" w:cs="Arial"/>
          <w:sz w:val="18"/>
          <w:szCs w:val="18"/>
        </w:rPr>
        <w:br/>
      </w:r>
    </w:p>
    <w:p w:rsidR="001013CB" w:rsidRDefault="001013CB" w:rsidP="001013CB">
      <w:r>
        <w:br w:type="page"/>
      </w:r>
    </w:p>
    <w:p w:rsidR="001013CB" w:rsidRDefault="001013CB" w:rsidP="001013CB">
      <w:r>
        <w:t>Group Unit Root-The Second difference value of all variables in the Model with intercept and a Linear Trend</w:t>
      </w:r>
    </w:p>
    <w:p w:rsidR="001013CB" w:rsidRDefault="001013CB" w:rsidP="001013CB">
      <w:pPr>
        <w:autoSpaceDE w:val="0"/>
        <w:autoSpaceDN w:val="0"/>
        <w:adjustRightInd w:val="0"/>
        <w:rPr>
          <w:rFonts w:ascii="Arial" w:hAnsi="Arial" w:cs="Arial"/>
          <w:sz w:val="18"/>
          <w:szCs w:val="18"/>
        </w:rPr>
      </w:pPr>
    </w:p>
    <w:tbl>
      <w:tblPr>
        <w:tblW w:w="0" w:type="auto"/>
        <w:tblInd w:w="60" w:type="dxa"/>
        <w:tblLayout w:type="fixed"/>
        <w:tblCellMar>
          <w:left w:w="30" w:type="dxa"/>
          <w:right w:w="30" w:type="dxa"/>
        </w:tblCellMar>
        <w:tblLook w:val="0000"/>
      </w:tblPr>
      <w:tblGrid>
        <w:gridCol w:w="1472"/>
        <w:gridCol w:w="1039"/>
        <w:gridCol w:w="924"/>
        <w:gridCol w:w="693"/>
        <w:gridCol w:w="693"/>
        <w:gridCol w:w="693"/>
        <w:gridCol w:w="693"/>
        <w:gridCol w:w="751"/>
      </w:tblGrid>
      <w:tr w:rsidR="001013CB" w:rsidTr="00AB501F">
        <w:trPr>
          <w:trHeight w:val="255"/>
        </w:trPr>
        <w:tc>
          <w:tcPr>
            <w:tcW w:w="1472" w:type="dxa"/>
            <w:gridSpan w:val="7"/>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Null Hypothesis: Unit root (individual unit root process) </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7"/>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Series: DDIGDP, DDIWP, DDNEX, DDNEXV, DDNGDP, DDNM, DDNWP,</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DDNX</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Date: 09/17/12   Time: 00:33</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Sample: 1979 2011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8"/>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Exogenous variables: Individual effects, individual linear trends</w:t>
            </w:r>
          </w:p>
        </w:tc>
      </w:tr>
      <w:tr w:rsidR="001013CB" w:rsidTr="00AB501F">
        <w:trPr>
          <w:trHeight w:val="255"/>
        </w:trPr>
        <w:tc>
          <w:tcPr>
            <w:tcW w:w="1472" w:type="dxa"/>
            <w:gridSpan w:val="5"/>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Automatic selection of maximum lags</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6"/>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Automatic selection of lags based on SIC: 1 to 6</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5"/>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Total number of observations: 210</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Cross-sections included: 8</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1472"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hRule="exact" w:val="153"/>
        </w:trPr>
        <w:tc>
          <w:tcPr>
            <w:tcW w:w="1472"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val="255"/>
        </w:trPr>
        <w:tc>
          <w:tcPr>
            <w:tcW w:w="1472" w:type="dxa"/>
            <w:gridSpan w:val="2"/>
            <w:tcBorders>
              <w:top w:val="nil"/>
              <w:left w:val="nil"/>
              <w:bottom w:val="single" w:sz="6" w:space="0"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Method</w:t>
            </w:r>
          </w:p>
        </w:tc>
        <w:tc>
          <w:tcPr>
            <w:tcW w:w="924"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Statistic</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Prob.**</w:t>
            </w:r>
          </w:p>
        </w:tc>
      </w:tr>
      <w:tr w:rsidR="001013CB" w:rsidTr="00AB501F">
        <w:trPr>
          <w:trHeight w:val="255"/>
        </w:trPr>
        <w:tc>
          <w:tcPr>
            <w:tcW w:w="1472"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Im, Pesaran and Shin W-stat </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Pr="00615306" w:rsidRDefault="001013CB" w:rsidP="00AB501F">
            <w:pPr>
              <w:autoSpaceDE w:val="0"/>
              <w:autoSpaceDN w:val="0"/>
              <w:adjustRightInd w:val="0"/>
              <w:jc w:val="center"/>
              <w:rPr>
                <w:rFonts w:ascii="Arial" w:hAnsi="Arial" w:cs="Arial"/>
                <w:color w:val="000000"/>
                <w:sz w:val="16"/>
                <w:szCs w:val="18"/>
              </w:rPr>
            </w:pPr>
            <w:r w:rsidRPr="00615306">
              <w:rPr>
                <w:rFonts w:ascii="Arial" w:hAnsi="Arial" w:cs="Arial"/>
                <w:color w:val="000000"/>
                <w:sz w:val="16"/>
                <w:szCs w:val="18"/>
              </w:rPr>
              <w:t>-9.55281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w:t>
            </w:r>
          </w:p>
        </w:tc>
      </w:tr>
      <w:tr w:rsidR="001013CB" w:rsidTr="00AB501F">
        <w:trPr>
          <w:trHeight w:hRule="exact" w:val="102"/>
        </w:trPr>
        <w:tc>
          <w:tcPr>
            <w:tcW w:w="1472"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Pr="00615306" w:rsidRDefault="001013CB" w:rsidP="00AB501F">
            <w:pPr>
              <w:autoSpaceDE w:val="0"/>
              <w:autoSpaceDN w:val="0"/>
              <w:adjustRightInd w:val="0"/>
              <w:rPr>
                <w:rFonts w:ascii="Arial" w:hAnsi="Arial" w:cs="Arial"/>
                <w:color w:val="000000"/>
                <w:sz w:val="16"/>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hRule="exact" w:val="153"/>
        </w:trPr>
        <w:tc>
          <w:tcPr>
            <w:tcW w:w="1472"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Pr="00615306" w:rsidRDefault="001013CB" w:rsidP="00AB501F">
            <w:pPr>
              <w:autoSpaceDE w:val="0"/>
              <w:autoSpaceDN w:val="0"/>
              <w:adjustRightInd w:val="0"/>
              <w:rPr>
                <w:rFonts w:ascii="Arial" w:hAnsi="Arial" w:cs="Arial"/>
                <w:color w:val="000000"/>
                <w:sz w:val="16"/>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val="255"/>
        </w:trPr>
        <w:tc>
          <w:tcPr>
            <w:tcW w:w="1472" w:type="dxa"/>
            <w:gridSpan w:val="7"/>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Probabilities are computed assuming asympotic normality</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Intermediate ADF test results</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1472"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hRule="exact" w:val="153"/>
        </w:trPr>
        <w:tc>
          <w:tcPr>
            <w:tcW w:w="1472"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Max</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Series</w:t>
            </w:r>
          </w:p>
        </w:tc>
        <w:tc>
          <w:tcPr>
            <w:tcW w:w="1039"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t-Stat</w:t>
            </w:r>
          </w:p>
        </w:tc>
        <w:tc>
          <w:tcPr>
            <w:tcW w:w="924"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Prob.</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E(t)</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E(Var)</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Lag</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Lag</w:t>
            </w:r>
          </w:p>
        </w:tc>
        <w:tc>
          <w:tcPr>
            <w:tcW w:w="751"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Obs</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-7.6775</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-2.173</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0.741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-6.8708</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-2.087</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0.772</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-4.2565</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-1.976</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0.899</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-4.2565</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-1.976</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0.899</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-5.7859</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-2.087</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0.772</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-1.5603</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-1.850</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1.093</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-4.9492</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-1.955</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0.991</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w:t>
            </w:r>
          </w:p>
        </w:tc>
      </w:tr>
      <w:tr w:rsidR="001013CB" w:rsidTr="00AB501F">
        <w:trPr>
          <w:trHeight w:val="255"/>
        </w:trPr>
        <w:tc>
          <w:tcPr>
            <w:tcW w:w="1472"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039"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-6.3362</w:t>
            </w:r>
          </w:p>
        </w:tc>
        <w:tc>
          <w:tcPr>
            <w:tcW w:w="924"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-1.850</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1.093</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693"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751" w:type="dxa"/>
            <w:tcBorders>
              <w:top w:val="nil"/>
              <w:left w:val="nil"/>
              <w:bottom w:val="sing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w:t>
            </w: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1472"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Average</w:t>
            </w:r>
          </w:p>
        </w:tc>
        <w:tc>
          <w:tcPr>
            <w:tcW w:w="1039"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-5.2116</w:t>
            </w:r>
          </w:p>
        </w:tc>
        <w:tc>
          <w:tcPr>
            <w:tcW w:w="92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-1.994</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0.908</w:t>
            </w: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1472"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double" w:sz="6" w:space="2" w:color="auto"/>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hRule="exact" w:val="153"/>
        </w:trPr>
        <w:tc>
          <w:tcPr>
            <w:tcW w:w="1472"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1039"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924"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69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c>
          <w:tcPr>
            <w:tcW w:w="751"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p>
        </w:tc>
      </w:tr>
      <w:tr w:rsidR="001013CB" w:rsidTr="00AB501F">
        <w:trPr>
          <w:trHeight w:val="255"/>
        </w:trPr>
        <w:tc>
          <w:tcPr>
            <w:tcW w:w="1472" w:type="dxa"/>
            <w:gridSpan w:val="8"/>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Warning: for some series the expected mean and variance for the given lag</w:t>
            </w:r>
          </w:p>
        </w:tc>
      </w:tr>
      <w:tr w:rsidR="001013CB" w:rsidTr="00AB501F">
        <w:trPr>
          <w:trHeight w:val="255"/>
        </w:trPr>
        <w:tc>
          <w:tcPr>
            <w:tcW w:w="1472" w:type="dxa"/>
            <w:gridSpan w:val="7"/>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and observation are not covered in IPS paper</w:t>
            </w:r>
          </w:p>
        </w:tc>
        <w:tc>
          <w:tcPr>
            <w:tcW w:w="75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bl>
    <w:p w:rsidR="001013CB" w:rsidRDefault="001013CB" w:rsidP="001013CB">
      <w:r>
        <w:rPr>
          <w:rFonts w:ascii="Arial" w:hAnsi="Arial" w:cs="Arial"/>
          <w:sz w:val="18"/>
          <w:szCs w:val="18"/>
        </w:rPr>
        <w:br/>
      </w:r>
    </w:p>
    <w:p w:rsidR="001013CB" w:rsidRDefault="001013CB" w:rsidP="001013CB">
      <w:r>
        <w:br w:type="page"/>
      </w:r>
    </w:p>
    <w:p w:rsidR="001013CB" w:rsidRDefault="001013CB" w:rsidP="001013CB"/>
    <w:p w:rsidR="001013CB" w:rsidRDefault="001013CB" w:rsidP="001013CB">
      <w:r>
        <w:t>Lag Length Specification Test</w:t>
      </w:r>
    </w:p>
    <w:p w:rsidR="001013CB" w:rsidRDefault="001013CB" w:rsidP="001013CB">
      <w:pPr>
        <w:autoSpaceDE w:val="0"/>
        <w:autoSpaceDN w:val="0"/>
        <w:adjustRightInd w:val="0"/>
        <w:rPr>
          <w:rFonts w:ascii="Arial" w:hAnsi="Arial" w:cs="Arial"/>
          <w:sz w:val="18"/>
          <w:szCs w:val="18"/>
        </w:rPr>
      </w:pPr>
    </w:p>
    <w:tbl>
      <w:tblPr>
        <w:tblW w:w="0" w:type="auto"/>
        <w:tblInd w:w="60" w:type="dxa"/>
        <w:tblLayout w:type="fixed"/>
        <w:tblCellMar>
          <w:left w:w="30" w:type="dxa"/>
          <w:right w:w="30" w:type="dxa"/>
        </w:tblCellMar>
        <w:tblLook w:val="0000"/>
      </w:tblPr>
      <w:tblGrid>
        <w:gridCol w:w="894"/>
        <w:gridCol w:w="1386"/>
        <w:gridCol w:w="1386"/>
        <w:gridCol w:w="1386"/>
        <w:gridCol w:w="1386"/>
        <w:gridCol w:w="1386"/>
        <w:gridCol w:w="1386"/>
      </w:tblGrid>
      <w:tr w:rsidR="001013CB" w:rsidTr="00AB501F">
        <w:trPr>
          <w:trHeight w:val="255"/>
        </w:trPr>
        <w:tc>
          <w:tcPr>
            <w:tcW w:w="894"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VAR Lag Order Selection Criteria</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5"/>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Endogenous variables: DDNM DDNGDP DDIWP DDNWP DDNEXV </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Exogenous variables: C </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Date: 09/17/12   Time: 00:45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Sample: 1979 2011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Included observations: 27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894"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Lag</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LogL</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LR</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FPE</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AIC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HQ</w:t>
            </w:r>
          </w:p>
        </w:tc>
      </w:tr>
      <w:tr w:rsidR="001013CB" w:rsidTr="00AB501F">
        <w:trPr>
          <w:trHeight w:hRule="exact" w:val="102"/>
        </w:trPr>
        <w:tc>
          <w:tcPr>
            <w:tcW w:w="894"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-785.5033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NA </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1.85e+19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58.55580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58.79577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58.62715</w:t>
            </w:r>
          </w:p>
        </w:tc>
      </w:tr>
      <w:tr w:rsidR="001013CB" w:rsidTr="00AB501F">
        <w:trPr>
          <w:trHeight w:val="255"/>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-751.1167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53.49031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9.60e+18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57.86049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59.30031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58.28863</w:t>
            </w:r>
          </w:p>
        </w:tc>
      </w:tr>
      <w:tr w:rsidR="001013CB" w:rsidTr="00AB501F">
        <w:trPr>
          <w:trHeight w:val="255"/>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-699.4883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61.18915*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1.65e+18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55.88802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58.52769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56.67293</w:t>
            </w:r>
          </w:p>
        </w:tc>
      </w:tr>
      <w:tr w:rsidR="001013CB" w:rsidTr="00AB501F">
        <w:trPr>
          <w:trHeight w:val="255"/>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-656.7028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34.86227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8.40e+17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54.57058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58.41009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55.71227</w:t>
            </w:r>
          </w:p>
        </w:tc>
      </w:tr>
      <w:tr w:rsidR="001013CB" w:rsidTr="00AB501F">
        <w:trPr>
          <w:trHeight w:val="255"/>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-573.2794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37.07706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6.24e+16*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50.24292*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55.28229*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51.74139*</w:t>
            </w:r>
          </w:p>
        </w:tc>
      </w:tr>
      <w:tr w:rsidR="001013CB" w:rsidTr="00AB501F">
        <w:trPr>
          <w:trHeight w:hRule="exact" w:val="102"/>
        </w:trPr>
        <w:tc>
          <w:tcPr>
            <w:tcW w:w="894"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 indicates lag order selected by the criterion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5"/>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LR: sequential modified LR test statistic (each test at 5% level)</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FPE: Final prediction error</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AIC: Akaike information criterion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SC: Schwarz information criterion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HQ: Hannan-Quinn information criterion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894"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bl>
    <w:p w:rsidR="001013CB" w:rsidRDefault="001013CB" w:rsidP="001013CB">
      <w:r>
        <w:rPr>
          <w:rFonts w:ascii="Arial" w:hAnsi="Arial" w:cs="Arial"/>
          <w:sz w:val="18"/>
          <w:szCs w:val="18"/>
        </w:rPr>
        <w:br/>
      </w:r>
    </w:p>
    <w:p w:rsidR="001013CB" w:rsidRDefault="001013CB" w:rsidP="001013CB">
      <w:r>
        <w:br w:type="page"/>
      </w:r>
    </w:p>
    <w:p w:rsidR="001013CB" w:rsidRDefault="001013CB" w:rsidP="001013CB">
      <w:r>
        <w:t>VAR Results-</w:t>
      </w:r>
      <w:r w:rsidR="00015A79">
        <w:t xml:space="preserve">of </w:t>
      </w:r>
      <w:r>
        <w:t>Equation One (Import Equation) at 4th Lag</w:t>
      </w:r>
    </w:p>
    <w:p w:rsidR="001013CB" w:rsidRDefault="001013CB" w:rsidP="001013CB">
      <w:pPr>
        <w:autoSpaceDE w:val="0"/>
        <w:autoSpaceDN w:val="0"/>
        <w:adjustRightInd w:val="0"/>
        <w:rPr>
          <w:rFonts w:ascii="Arial" w:hAnsi="Arial" w:cs="Arial"/>
          <w:sz w:val="18"/>
          <w:szCs w:val="18"/>
        </w:rPr>
      </w:pPr>
    </w:p>
    <w:tbl>
      <w:tblPr>
        <w:tblW w:w="0" w:type="auto"/>
        <w:tblInd w:w="60" w:type="dxa"/>
        <w:tblLayout w:type="fixed"/>
        <w:tblCellMar>
          <w:left w:w="30" w:type="dxa"/>
          <w:right w:w="30" w:type="dxa"/>
        </w:tblCellMar>
        <w:tblLook w:val="0000"/>
      </w:tblPr>
      <w:tblGrid>
        <w:gridCol w:w="2396"/>
        <w:gridCol w:w="1386"/>
        <w:gridCol w:w="1386"/>
        <w:gridCol w:w="1386"/>
        <w:gridCol w:w="1386"/>
        <w:gridCol w:w="1386"/>
      </w:tblGrid>
      <w:tr w:rsidR="001013CB" w:rsidTr="00AB501F">
        <w:trPr>
          <w:trHeight w:val="255"/>
        </w:trPr>
        <w:tc>
          <w:tcPr>
            <w:tcW w:w="2396"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Vector Autoregression Estimates</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Date: 09/17/12   Time: 00:46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Sample (adjusted): 1985 2011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Included observations: 27 after adjustments</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Standard errors in ( ) &amp; t-statistics in [ ]</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239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239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-0.759968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4.164933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-0.016199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0.058581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0.061103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(0.45924)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(1.35719)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(0.02002)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(0.06503)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(0.35492)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[-1.65483]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[ 3.06879]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[-0.80909]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[ 0.90078]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[ 0.17216]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-0.761442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2.453213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-0.029940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-0.096443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0.155573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(0.96761)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(2.85955)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(0.04218)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(0.13702)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(0.74780)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[-0.78693]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[ 0.85790]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[-0.70976]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[-0.70384]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[ 0.20804]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-0.029099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2.726940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-0.025749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0.149414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1.057834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(0.68015)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(2.01003)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(0.02965)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(0.09632)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(0.52564)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[-0.04278]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[ 1.35667]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[-0.86839]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[ 1.55129]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[ 2.01246]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0.379899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-1.441224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0.028438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0.199342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0.560704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(0.73236)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(2.16431)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(0.03193)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(0.10371)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(0.56599)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[ 0.51873]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[-0.66590]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[ 0.89069]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[ 1.92212]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[ 0.99066]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0.180680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-0.764902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0.011880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0.057102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0.068744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(0.16828)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(0.49731)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(0.00734)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(0.02383)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(0.13005)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[ 1.07370]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[-1.53808]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[ 1.61936]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[ 2.39621]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[ 0.52859]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0.181520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-1.579392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-0.004966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-0.030566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-0.168035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(0.16634)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(0.49157)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(0.00725)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(0.02356)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(0.12855)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[ 1.09128]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[-3.21295]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[-0.68485]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[-1.29766]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[-1.30715]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0.224574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-0.969261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0.015541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0.055193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0.096995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(0.22075)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(0.65238)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(0.00962)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(0.03126)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(0.17060)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[ 1.01732]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[-1.48574]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[ 1.61488]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[ 1.76557]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[ 0.56854]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0.116486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-1.067362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0.002303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-0.063117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-0.205138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(0.19088)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(0.56411)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(0.00832)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(0.02703)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(0.14752)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[ 0.61024]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[-1.89210]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[ 0.27677]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[-2.33499]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[-1.39057]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18.11998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-19.67719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0.133124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3.378449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8.314767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(12.1696)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(35.9644)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(0.53054)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(1.72334)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(9.40502)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[ 1.48896]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[-0.54713]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[ 0.25092]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[ 1.96041]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[ 0.88408]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21.80203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-88.45544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0.534537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-0.965523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-1.141884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(11.4700)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(33.8971)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(0.50004)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(1.62428)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(8.86440)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[ 1.90078]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[-2.60953]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[ 1.06898]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[-0.59443]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[-0.12882]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13.91570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-71.28855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0.415094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0.978900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0.368820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(10.3712)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(30.6496)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(0.45214)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(1.46867)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(8.01517)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[ 1.34177]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[-2.32592]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[ 0.91807]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[ 0.66652]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[ 0.04602]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7.757693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-35.06594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0.456944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-0.398016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-1.355099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(9.05287)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(26.7537)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(0.39467)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(1.28198)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(6.99635)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[ 0.85693]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[-1.31069]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[ 1.15780]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[-0.31047]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[-0.19369]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-1.900669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3.740048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0.179600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-0.385174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1.579914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(1.74585)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(5.15946)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(0.07611)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(0.24723)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(1.34925)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[-1.08868]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[ 0.72489]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[ 2.35970]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[-1.55795]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[ 1.17096]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-1.765790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11.33079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0.002124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-1.264891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-0.340148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(2.59704)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(7.67495)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(0.11322)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(0.36777)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(2.00707)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[-0.67993]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[ 1.47633]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[ 0.01876]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[-3.43938]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[-0.16947]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-4.486645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10.62523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-0.053873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-0.629876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2.056193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(2.41818)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(7.14639)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(0.10542)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(0.34244)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(1.86885)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[-1.85538]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[ 1.48680]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[-0.51102]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[-1.83938]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[ 1.10025]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-2.652841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16.84667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0.009393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0.226188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3.176160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(3.08864)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(9.12779)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(0.13465)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(0.43738)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(2.38700)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[-0.85890]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[ 1.84565]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[ 0.06976]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[ 0.51714]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[ 1.33061]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-0.216784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-0.231699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-0.035371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-0.175733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-0.394548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(0.76776)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(2.26895)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(0.03347)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(0.10872)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(0.59335)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[-0.28236]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[-0.10212]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[-1.05675]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[-1.61633]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[-0.66495]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-0.234480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1.622891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-0.000361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0.116259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0.175841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(0.69194)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(2.04486)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(0.03017)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(0.09799)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(0.53475)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[-0.33888]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[ 0.79364]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[-0.01196]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[ 1.18649]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[ 0.32883]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0.366193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-0.907490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-0.021052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-0.053717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-0.829460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(0.52882)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(1.56280)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(0.02305)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(0.07489)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(0.40869)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[ 0.69247]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[-0.58068]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[-0.91314]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[-0.71732]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[-2.02957]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0.135964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0.184641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-0.002910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-0.133492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0.043260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(0.59543)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(1.75965)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(0.02596)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(0.08432)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(0.46017)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[ 0.22835]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[ 0.10493]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[-0.11210]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[-1.58318]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[ 0.09401]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-11.24713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202.8465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-0.652857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-3.729109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-10.72848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(35.7702)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(105.711)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(1.55943)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(5.06544)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(27.6443)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[-0.31443]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[ 1.91888]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[-0.41865]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[-0.73619]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[-0.38809]</w:t>
            </w:r>
          </w:p>
        </w:tc>
      </w:tr>
      <w:tr w:rsidR="001013CB" w:rsidTr="00AB501F">
        <w:trPr>
          <w:trHeight w:hRule="exact" w:val="102"/>
        </w:trPr>
        <w:tc>
          <w:tcPr>
            <w:tcW w:w="239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R-squared</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0.923368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0.874453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0.951456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0.966443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0.665989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Adj. R-squared</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0.667926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0.455965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0.789644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0.854586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-0.447382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Sum sq. resids</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94916.68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828968.0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180.3972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1903.413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56690.75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S.E. equation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125.7754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371.7006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5.483266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17.81111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97.20318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F-statistic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3.614794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2.089552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5.880005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8.640017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0.598173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lastRenderedPageBreak/>
              <w:t> Log likelihood</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-148.5377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-177.7947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-63.95222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-95.76150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-141.5800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Akaike AIC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12.55835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14.72553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6.292757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8.649000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12.04296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Schwarz SC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13.56622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15.73341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7.300630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9.656873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13.05084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Mean dependent</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29.92230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48.97270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0.579556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-0.298444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-6.442741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S.D. dependent</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218.2621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503.9411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11.95534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46.70770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80.79582</w:t>
            </w:r>
          </w:p>
        </w:tc>
      </w:tr>
      <w:tr w:rsidR="001013CB" w:rsidTr="00AB501F">
        <w:trPr>
          <w:trHeight w:hRule="exact" w:val="102"/>
        </w:trPr>
        <w:tc>
          <w:tcPr>
            <w:tcW w:w="239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Determinant resid covariance (dof adj.)</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3.52E+15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Determinant resid covariance</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1.91E+12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Log likelihood</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-573.2794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Akaike information criterion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50.24292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Schwarz criterion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55.28229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239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bl>
    <w:p w:rsidR="001013CB" w:rsidRDefault="001013CB" w:rsidP="001013CB">
      <w:r>
        <w:rPr>
          <w:rFonts w:ascii="Arial" w:hAnsi="Arial" w:cs="Arial"/>
          <w:sz w:val="18"/>
          <w:szCs w:val="18"/>
        </w:rPr>
        <w:br/>
      </w:r>
    </w:p>
    <w:p w:rsidR="001013CB" w:rsidRDefault="001013CB" w:rsidP="001013CB">
      <w:r>
        <w:br w:type="page"/>
      </w:r>
    </w:p>
    <w:p w:rsidR="001013CB" w:rsidRDefault="001013CB" w:rsidP="001013CB">
      <w:r>
        <w:t>Impulse Response for Equation One at 4 lags</w:t>
      </w:r>
    </w:p>
    <w:p w:rsidR="001013CB" w:rsidRDefault="006524F9" w:rsidP="001013CB">
      <w:r>
        <w:rPr>
          <w:noProof/>
        </w:rPr>
        <w:drawing>
          <wp:inline distT="0" distB="0" distL="0" distR="0">
            <wp:extent cx="5950585" cy="4926965"/>
            <wp:effectExtent l="1905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cstate="print"/>
                    <a:srcRect/>
                    <a:stretch>
                      <a:fillRect/>
                    </a:stretch>
                  </pic:blipFill>
                  <pic:spPr bwMode="auto">
                    <a:xfrm>
                      <a:off x="0" y="0"/>
                      <a:ext cx="5950585" cy="4926965"/>
                    </a:xfrm>
                    <a:prstGeom prst="rect">
                      <a:avLst/>
                    </a:prstGeom>
                    <a:noFill/>
                    <a:ln w="9525">
                      <a:noFill/>
                      <a:miter lim="800000"/>
                      <a:headEnd/>
                      <a:tailEnd/>
                    </a:ln>
                  </pic:spPr>
                </pic:pic>
              </a:graphicData>
            </a:graphic>
          </wp:inline>
        </w:drawing>
      </w:r>
    </w:p>
    <w:p w:rsidR="001013CB" w:rsidRDefault="001013CB" w:rsidP="001013CB">
      <w:r>
        <w:br w:type="page"/>
      </w:r>
    </w:p>
    <w:p w:rsidR="001013CB" w:rsidRDefault="001013CB" w:rsidP="001013CB">
      <w:r>
        <w:t>Impulse Response Table of equation One at 4 Lags</w:t>
      </w:r>
    </w:p>
    <w:p w:rsidR="001013CB" w:rsidRDefault="001013CB" w:rsidP="001013CB">
      <w:pPr>
        <w:autoSpaceDE w:val="0"/>
        <w:autoSpaceDN w:val="0"/>
        <w:adjustRightInd w:val="0"/>
        <w:rPr>
          <w:rFonts w:ascii="Arial" w:hAnsi="Arial" w:cs="Arial"/>
          <w:sz w:val="18"/>
          <w:szCs w:val="18"/>
        </w:rPr>
      </w:pPr>
    </w:p>
    <w:tbl>
      <w:tblPr>
        <w:tblW w:w="0" w:type="auto"/>
        <w:tblInd w:w="60" w:type="dxa"/>
        <w:tblLayout w:type="fixed"/>
        <w:tblCellMar>
          <w:left w:w="30" w:type="dxa"/>
          <w:right w:w="30" w:type="dxa"/>
        </w:tblCellMar>
        <w:tblLook w:val="0000"/>
      </w:tblPr>
      <w:tblGrid>
        <w:gridCol w:w="663"/>
        <w:gridCol w:w="1271"/>
        <w:gridCol w:w="1270"/>
        <w:gridCol w:w="1271"/>
        <w:gridCol w:w="1270"/>
        <w:gridCol w:w="1271"/>
      </w:tblGrid>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506ED8" w:rsidRDefault="001013CB" w:rsidP="00AB501F">
            <w:pPr>
              <w:autoSpaceDE w:val="0"/>
              <w:autoSpaceDN w:val="0"/>
              <w:adjustRightInd w:val="0"/>
              <w:jc w:val="center"/>
              <w:rPr>
                <w:rFonts w:ascii="Arial" w:hAnsi="Arial" w:cs="Arial"/>
                <w:color w:val="000000"/>
                <w:sz w:val="12"/>
                <w:szCs w:val="18"/>
              </w:rPr>
            </w:pPr>
            <w:r w:rsidRPr="00506ED8">
              <w:rPr>
                <w:rFonts w:ascii="Arial" w:hAnsi="Arial" w:cs="Arial"/>
                <w:color w:val="000000"/>
                <w:sz w:val="12"/>
                <w:szCs w:val="18"/>
              </w:rPr>
              <w:t> Response of DDNM:</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125.7754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(17.1159)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-64.19563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-7.166919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107.3524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-30.32113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-6.325783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(59.3204)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(39.2812)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(49.6464)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(39.5166)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(22.4199)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-0.903979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17.50723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-58.89912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18.76294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-9.715969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(85.1437)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(48.6828)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(84.6044)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(60.5169)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(34.9095)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96.86348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-14.49473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46.26083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-10.25315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0.461794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(98.7802)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(57.8141)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(90.1307)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(62.3236)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(35.4349)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-139.1459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-29.49142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12.40073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-35.58211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-6.570215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(104.513)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(69.0505)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(91.9084)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(72.4227)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(38.8409)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-33.49849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51.28735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-76.56303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80.10314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24.06940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(113.564)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(79.8073)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(105.250)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(82.9638)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(38.8495)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173.5678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-26.76566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5.355275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-54.66437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-25.01319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(220.320)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(83.1730)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(126.711)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(85.1143)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(37.4784)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-147.0186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-66.08214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72.17021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-15.52164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10.79868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(268.573)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(110.957)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(186.775)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(122.713)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(53.3818)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-77.77287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136.4249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-82.89155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54.37230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2.931186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(266.683)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(126.255)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(209.837)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(150.106)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(59.6350)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354.7676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-83.38481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1.653226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-34.34498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-12.39547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(353.720)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(127.990)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(197.429)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(146.921)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(61.2884)</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506ED8" w:rsidRDefault="001013CB" w:rsidP="00AB501F">
            <w:pPr>
              <w:autoSpaceDE w:val="0"/>
              <w:autoSpaceDN w:val="0"/>
              <w:adjustRightInd w:val="0"/>
              <w:jc w:val="center"/>
              <w:rPr>
                <w:rFonts w:ascii="Arial" w:hAnsi="Arial" w:cs="Arial"/>
                <w:color w:val="000000"/>
                <w:sz w:val="12"/>
                <w:szCs w:val="18"/>
              </w:rPr>
            </w:pPr>
            <w:r w:rsidRPr="00506ED8">
              <w:rPr>
                <w:rFonts w:ascii="Arial" w:hAnsi="Arial" w:cs="Arial"/>
                <w:color w:val="000000"/>
                <w:sz w:val="12"/>
                <w:szCs w:val="18"/>
              </w:rPr>
              <w:t> Response of DDNGDP: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163.9089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333.6094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(67.9674)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(45.3985)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386.8934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-197.5107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-147.3977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22.10189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-6.760990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(176.218)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(104.769)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(140.621)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(116.135)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(66.2145)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-447.0651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-88.38835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131.6596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13.41544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29.97916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(301.415)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(157.843)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(270.151)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(181.362)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(105.924)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-64.54637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38.07879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1.222086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-100.2393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-54.03332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(345.472)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(223.031)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(395.983)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(287.845)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(160.700)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237.8161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116.0771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37.37161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175.7255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90.82237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(418.310)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(244.605)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(355.174)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(237.206)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(130.396)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189.5206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-49.79578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98.39990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-138.9417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-64.03377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(364.537)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(276.905)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(423.563)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(297.428)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(170.144)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-423.2257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-73.56856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-89.99490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46.46676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-5.762433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(438.568)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(259.369)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(351.069)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(220.280)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(132.593)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155.4743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71.28470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-96.46392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-30.78804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-49.14309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(595.303)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(259.249)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(350.388)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(257.941)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(175.425)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401.9787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-64.10057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212.4771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-97.37074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37.56253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(705.236)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(258.420)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(322.390)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(225.090)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(125.049)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-702.6350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-15.94524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-42.33603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160.6030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77.53522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(667.435)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(285.228)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(399.227)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(290.021)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(177.574)</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506ED8" w:rsidRDefault="001013CB" w:rsidP="00AB501F">
            <w:pPr>
              <w:autoSpaceDE w:val="0"/>
              <w:autoSpaceDN w:val="0"/>
              <w:adjustRightInd w:val="0"/>
              <w:jc w:val="center"/>
              <w:rPr>
                <w:rFonts w:ascii="Arial" w:hAnsi="Arial" w:cs="Arial"/>
                <w:color w:val="000000"/>
                <w:sz w:val="12"/>
                <w:szCs w:val="18"/>
              </w:rPr>
            </w:pPr>
            <w:r w:rsidRPr="00506ED8">
              <w:rPr>
                <w:rFonts w:ascii="Arial" w:hAnsi="Arial" w:cs="Arial"/>
                <w:color w:val="000000"/>
                <w:sz w:val="12"/>
                <w:szCs w:val="18"/>
              </w:rPr>
              <w:t> Response of 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-0.343461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-1.911487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5.127812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(1.05422)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(1.02055)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(0.69781)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-1.112141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3.032882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-2.216401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-0.322070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-1.032115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(2.49988)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(1.56449)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(2.08461)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(1.72455)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(0.98674)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3.453000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-4.881347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1.384566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-1.475448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-0.639528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(3.41316)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(1.94621)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(3.38034)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(2.37374)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(1.36813)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-7.822612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2.418248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-0.066714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-0.985385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0.321937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(4.31645)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(2.68341)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(3.59012)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(2.87433)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(1.65776)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6.984408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-1.540928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-4.337468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2.283247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0.752064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(5.72803)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(3.59497)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(4.39014)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(3.77530)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(2.17220)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-7.062314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0.614885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2.428774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0.239496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0.305386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(6.85759)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(4.37299)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(5.37925)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(4.54386)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(2.49301)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1.411012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-1.143721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-0.593587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-2.275572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-1.449010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(9.38140)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(5.06944)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(6.76402)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(4.98396)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(2.66310)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0.238864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5.309996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-0.722544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3.405736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1.816104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(10.5370)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(5.49788)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(6.18996)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(4.72124)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(2.55006)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8.617848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-4.311420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-1.119606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-2.437590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-1.037050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(9.93448)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(6.16304)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(8.31400)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(6.12787)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(2.85872)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-13.72974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-0.521907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1.805268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1.878357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1.404001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(13.2630)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(6.16604)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(9.11110)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(6.50179)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(3.32760)</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r w:rsidRPr="006828AC">
              <w:rPr>
                <w:rFonts w:ascii="Arial" w:hAnsi="Arial" w:cs="Arial"/>
                <w:color w:val="000000"/>
                <w:sz w:val="12"/>
                <w:szCs w:val="18"/>
              </w:rPr>
              <w:t> Response of 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-4.658264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9.550341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-10.72975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9.444555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(3.36862)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(3.04249)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(2.33145)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(1.28524)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16.66774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-2.966891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16.62780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-13.66548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-5.127905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(9.12837)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(6.32022)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(7.57928)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(5.94776)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(3.24839)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-3.564934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-12.08257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-6.813041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-0.316870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3.147204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(13.7556)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(8.86581)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(14.1075)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(11.6965)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(6.64601)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-12.68342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4.549755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-1.525884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9.548920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4.544890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(19.8115)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(10.0615)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(14.3546)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(10.6337)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(6.03508)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5.505827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-5.009045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-2.136236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-8.941328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-7.026911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(19.8504)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(13.6773)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(20.1912)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(14.7220)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(7.78193)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-7.270703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3.136454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15.85076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2.314698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1.733313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(18.0157)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(14.2714)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(20.7459)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(13.8837)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(7.08634)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13.98160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21.30241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-7.497512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-1.805434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-1.232580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(27.9441)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(12.9756)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(16.8819)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(11.0015)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(6.25812)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13.26300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-23.69313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-11.44883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7.899173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4.821243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(40.5960)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(14.8491)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(17.6952)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(13.3288)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(6.91113)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-54.39857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-3.148034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3.507943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-5.330231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-1.534235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(41.3110)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(18.0149)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(29.8786)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(21.0170)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(10.0776)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31.00102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8.286789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-9.034133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-0.283735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-2.504342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(50.8716)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(23.2903)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(39.3096)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(32.6854)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(15.3994)</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RPr="006828AC" w:rsidTr="00AB501F">
        <w:trPr>
          <w:trHeight w:val="255"/>
        </w:trPr>
        <w:tc>
          <w:tcPr>
            <w:tcW w:w="663"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r w:rsidRPr="006828AC">
              <w:rPr>
                <w:rFonts w:ascii="Arial" w:hAnsi="Arial" w:cs="Arial"/>
                <w:color w:val="000000"/>
                <w:sz w:val="12"/>
                <w:szCs w:val="18"/>
              </w:rPr>
              <w:lastRenderedPageBreak/>
              <w:t> Response of DDNEXV:</w:t>
            </w:r>
          </w:p>
        </w:tc>
        <w:tc>
          <w:tcPr>
            <w:tcW w:w="1271"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0"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0"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3.947319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67.60327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27.47954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57.06202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29.18007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(18.6990)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(16.2706)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(12.8886)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(9.58300)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(3.97090)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7.180032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-4.544055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14.84250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-7.592105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-11.51293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(42.3767)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(25.6993)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(36.5317)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(30.4564)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(17.3848)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31.62305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-36.92875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1.038786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-14.78480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-7.861289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(57.1431)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(27.0121)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(54.8840)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(30.5069)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(18.3111)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37.64677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-26.07581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3.779892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-37.52743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-18.92973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(56.5904)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(39.6659)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(65.9727)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(42.8732)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(23.4819)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-0.377647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-0.457847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48.57265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-5.345540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-2.092045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(63.3417)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(43.7171)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(67.7116)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(37.9977)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(22.4361)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-16.66061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4.785944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35.96660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-9.213942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-6.432603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(62.6155)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(38.9325)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(70.6290)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(41.3926)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(28.2289)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-11.59391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2.005660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2.256720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7.008925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9.102379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(96.2854)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(38.6758)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(83.5595)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(46.5890)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(26.0991)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-79.96108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-4.238260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-62.26014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19.59350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6.870062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(94.1752)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(41.8791)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(74.1445)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(42.2605)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(26.5158)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6.319825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9.804587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-49.48340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14.16139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0.559413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(117.076)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(49.1596)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(82.4825)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(62.0264)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(31.2938)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47.79359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-7.194666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11.42992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-21.65868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-7.267064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(123.422)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(47.1675)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(102.763)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(54.5103)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(32.0308)</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RPr="006828AC" w:rsidTr="00AB501F">
        <w:trPr>
          <w:trHeight w:val="255"/>
        </w:trPr>
        <w:tc>
          <w:tcPr>
            <w:tcW w:w="663"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r w:rsidRPr="006828AC">
              <w:rPr>
                <w:rFonts w:ascii="Arial" w:hAnsi="Arial" w:cs="Arial"/>
                <w:color w:val="000000"/>
                <w:sz w:val="12"/>
                <w:szCs w:val="18"/>
              </w:rPr>
              <w:t> Cholesky Ordering: DDNM DDNGDP DDIWP DDNWP DDNEXV</w:t>
            </w:r>
          </w:p>
        </w:tc>
        <w:tc>
          <w:tcPr>
            <w:tcW w:w="1271"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0"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0"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r>
      <w:tr w:rsidR="001013CB" w:rsidRPr="006828AC" w:rsidTr="00AB501F">
        <w:trPr>
          <w:trHeight w:val="255"/>
        </w:trPr>
        <w:tc>
          <w:tcPr>
            <w:tcW w:w="663"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r w:rsidRPr="006828AC">
              <w:rPr>
                <w:rFonts w:ascii="Arial" w:hAnsi="Arial" w:cs="Arial"/>
                <w:color w:val="000000"/>
                <w:sz w:val="12"/>
                <w:szCs w:val="18"/>
              </w:rPr>
              <w:t> Standard Errors: Analytic</w:t>
            </w:r>
          </w:p>
        </w:tc>
        <w:tc>
          <w:tcPr>
            <w:tcW w:w="1271"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0"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0"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nil"/>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r>
      <w:tr w:rsidR="001013CB" w:rsidRPr="006828AC" w:rsidTr="00AB501F">
        <w:trPr>
          <w:trHeight w:hRule="exact" w:val="102"/>
        </w:trPr>
        <w:tc>
          <w:tcPr>
            <w:tcW w:w="663" w:type="dxa"/>
            <w:tcBorders>
              <w:top w:val="nil"/>
              <w:left w:val="nil"/>
              <w:bottom w:val="double" w:sz="6" w:space="0" w:color="auto"/>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double" w:sz="6" w:space="0" w:color="auto"/>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0" w:type="dxa"/>
            <w:tcBorders>
              <w:top w:val="nil"/>
              <w:left w:val="nil"/>
              <w:bottom w:val="double" w:sz="6" w:space="0" w:color="auto"/>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double" w:sz="6" w:space="0" w:color="auto"/>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0" w:type="dxa"/>
            <w:tcBorders>
              <w:top w:val="nil"/>
              <w:left w:val="nil"/>
              <w:bottom w:val="double" w:sz="6" w:space="0" w:color="auto"/>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double" w:sz="6" w:space="0" w:color="auto"/>
              <w:right w:val="nil"/>
            </w:tcBorders>
            <w:vAlign w:val="bottom"/>
          </w:tcPr>
          <w:p w:rsidR="001013CB" w:rsidRPr="006828AC" w:rsidRDefault="001013CB" w:rsidP="00AB501F">
            <w:pPr>
              <w:autoSpaceDE w:val="0"/>
              <w:autoSpaceDN w:val="0"/>
              <w:adjustRightInd w:val="0"/>
              <w:jc w:val="center"/>
              <w:rPr>
                <w:rFonts w:ascii="Arial" w:hAnsi="Arial" w:cs="Arial"/>
                <w:color w:val="000000"/>
                <w:sz w:val="12"/>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bl>
    <w:p w:rsidR="001013CB" w:rsidRDefault="001013CB" w:rsidP="001013CB">
      <w:r>
        <w:rPr>
          <w:rFonts w:ascii="Arial" w:hAnsi="Arial" w:cs="Arial"/>
          <w:sz w:val="18"/>
          <w:szCs w:val="18"/>
        </w:rPr>
        <w:br/>
      </w:r>
    </w:p>
    <w:p w:rsidR="001013CB" w:rsidRDefault="001013CB" w:rsidP="001013CB">
      <w:r>
        <w:br w:type="page"/>
      </w:r>
    </w:p>
    <w:p w:rsidR="001013CB" w:rsidRDefault="001013CB" w:rsidP="001013CB">
      <w:r>
        <w:t>Variance Decomposition of Equation one at 4 Lags</w:t>
      </w:r>
    </w:p>
    <w:p w:rsidR="001013CB" w:rsidRDefault="006524F9" w:rsidP="001013CB">
      <w:r>
        <w:rPr>
          <w:noProof/>
        </w:rPr>
        <w:drawing>
          <wp:inline distT="0" distB="0" distL="0" distR="0">
            <wp:extent cx="5950585" cy="4831080"/>
            <wp:effectExtent l="19050" t="0" r="0" b="0"/>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5" cstate="print"/>
                    <a:srcRect/>
                    <a:stretch>
                      <a:fillRect/>
                    </a:stretch>
                  </pic:blipFill>
                  <pic:spPr bwMode="auto">
                    <a:xfrm>
                      <a:off x="0" y="0"/>
                      <a:ext cx="5950585" cy="4831080"/>
                    </a:xfrm>
                    <a:prstGeom prst="rect">
                      <a:avLst/>
                    </a:prstGeom>
                    <a:noFill/>
                    <a:ln w="9525">
                      <a:noFill/>
                      <a:miter lim="800000"/>
                      <a:headEnd/>
                      <a:tailEnd/>
                    </a:ln>
                  </pic:spPr>
                </pic:pic>
              </a:graphicData>
            </a:graphic>
          </wp:inline>
        </w:drawing>
      </w:r>
    </w:p>
    <w:p w:rsidR="001013CB" w:rsidRDefault="001013CB" w:rsidP="001013CB">
      <w:r>
        <w:br w:type="page"/>
      </w:r>
    </w:p>
    <w:p w:rsidR="001013CB" w:rsidRDefault="001013CB" w:rsidP="001013CB">
      <w:r>
        <w:t xml:space="preserve">Variance Decomposition Table </w:t>
      </w:r>
      <w:r w:rsidR="00015A79">
        <w:t>o</w:t>
      </w:r>
      <w:r>
        <w:t>f Equation one at 4 Lags</w:t>
      </w:r>
    </w:p>
    <w:p w:rsidR="001013CB" w:rsidRDefault="001013CB" w:rsidP="001013CB">
      <w:pPr>
        <w:autoSpaceDE w:val="0"/>
        <w:autoSpaceDN w:val="0"/>
        <w:adjustRightInd w:val="0"/>
        <w:rPr>
          <w:rFonts w:ascii="Arial" w:hAnsi="Arial" w:cs="Arial"/>
          <w:sz w:val="18"/>
          <w:szCs w:val="18"/>
        </w:rPr>
      </w:pPr>
    </w:p>
    <w:tbl>
      <w:tblPr>
        <w:tblW w:w="0" w:type="auto"/>
        <w:tblInd w:w="60" w:type="dxa"/>
        <w:tblLayout w:type="fixed"/>
        <w:tblCellMar>
          <w:left w:w="30" w:type="dxa"/>
          <w:right w:w="30" w:type="dxa"/>
        </w:tblCellMar>
        <w:tblLook w:val="0000"/>
      </w:tblPr>
      <w:tblGrid>
        <w:gridCol w:w="663"/>
        <w:gridCol w:w="1271"/>
        <w:gridCol w:w="1270"/>
        <w:gridCol w:w="1271"/>
        <w:gridCol w:w="1270"/>
        <w:gridCol w:w="1271"/>
        <w:gridCol w:w="1270"/>
      </w:tblGrid>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506ED8" w:rsidRDefault="001013CB" w:rsidP="00AB501F">
            <w:pPr>
              <w:autoSpaceDE w:val="0"/>
              <w:autoSpaceDN w:val="0"/>
              <w:adjustRightInd w:val="0"/>
              <w:jc w:val="center"/>
              <w:rPr>
                <w:rFonts w:ascii="Arial" w:hAnsi="Arial" w:cs="Arial"/>
                <w:color w:val="000000"/>
                <w:sz w:val="14"/>
                <w:szCs w:val="18"/>
              </w:rPr>
            </w:pPr>
            <w:r w:rsidRPr="00506ED8">
              <w:rPr>
                <w:rFonts w:ascii="Arial" w:hAnsi="Arial" w:cs="Arial"/>
                <w:color w:val="000000"/>
                <w:sz w:val="14"/>
                <w:szCs w:val="18"/>
              </w:rPr>
              <w:t> Variance Decomposition of DDNM:</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125.7754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180.2105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61.40116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0.158163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35.48652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2.830940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0.123216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191.5690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54.33803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0.975151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40.85607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3.464479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0.366268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220.3105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60.41585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1.170176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35.30050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2.836091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0.277375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265.0115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69.32181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2.047112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24.61515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3.762766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0.253159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294.6886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57.35470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4.684520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26.65709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10.43183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0.871857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348.3189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65.88310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3.943507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19.10394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9.929719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1.139732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390.9904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66.42608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5.986226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18.56869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8.038189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0.980814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432.8623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57.42466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14.81728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18.81713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8.136107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0.804823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567.0263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72.61053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10.79754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10.96681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5.108312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0.516811</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506ED8" w:rsidRDefault="001013CB" w:rsidP="00AB501F">
            <w:pPr>
              <w:autoSpaceDE w:val="0"/>
              <w:autoSpaceDN w:val="0"/>
              <w:adjustRightInd w:val="0"/>
              <w:jc w:val="center"/>
              <w:rPr>
                <w:rFonts w:ascii="Arial" w:hAnsi="Arial" w:cs="Arial"/>
                <w:color w:val="000000"/>
                <w:sz w:val="14"/>
                <w:szCs w:val="18"/>
              </w:rPr>
            </w:pPr>
            <w:r w:rsidRPr="00506ED8">
              <w:rPr>
                <w:rFonts w:ascii="Arial" w:hAnsi="Arial" w:cs="Arial"/>
                <w:color w:val="000000"/>
                <w:sz w:val="14"/>
                <w:szCs w:val="18"/>
              </w:rPr>
              <w:t> Variance Decomposition of DDNGDP: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371.7006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19.44548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80.55452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590.8626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50.57096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43.05290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6.223123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0.139922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0.013093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758.4268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65.44028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27.48871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6.790605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0.116212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0.164194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770.5819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64.09369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26.87253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6.578317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1.804725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0.650738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839.2566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62.06311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24.56756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5.744070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5.905551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1.719704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880.8161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60.97423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22.62352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6.462825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7.849671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2.089754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985.2212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67.18934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18.64029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6.000044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6.496586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1.673735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1006.272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66.79482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18.37040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6.670601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6.321233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1.842944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1110.998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67.88691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15.40320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9.129898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5.953801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1.626185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1327.353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75.58104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10.80552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6.497901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5.635058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1.480476</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506ED8" w:rsidRDefault="001013CB" w:rsidP="00AB501F">
            <w:pPr>
              <w:autoSpaceDE w:val="0"/>
              <w:autoSpaceDN w:val="0"/>
              <w:adjustRightInd w:val="0"/>
              <w:jc w:val="center"/>
              <w:rPr>
                <w:rFonts w:ascii="Arial" w:hAnsi="Arial" w:cs="Arial"/>
                <w:color w:val="000000"/>
                <w:sz w:val="14"/>
                <w:szCs w:val="18"/>
              </w:rPr>
            </w:pPr>
            <w:r w:rsidRPr="00506ED8">
              <w:rPr>
                <w:rFonts w:ascii="Arial" w:hAnsi="Arial" w:cs="Arial"/>
                <w:color w:val="000000"/>
                <w:sz w:val="14"/>
                <w:szCs w:val="18"/>
              </w:rPr>
              <w:t> Variance Decomposition of 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5.483266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0.392352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12.15245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87.45519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6.825164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2.908417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27.58988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66.99221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0.222676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2.286810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9.318615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15.29083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42.23992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38.14511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2.626400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1.697739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12.44817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48.05938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27.44482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21.37909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2.098429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1.018285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15.18900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53.42445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19.46293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22.51439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3.669123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0.929107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16.94136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60.32185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15.77653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20.15296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2.969320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0.779334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17.26091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58.77732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15.63685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19.53195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4.598414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1.455464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18.48273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51.27978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21.89164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17.18776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7.405931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2.234887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21.04134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56.34144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21.08983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13.54501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7.056398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1.967327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25.30364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68.40045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14.62577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9.875122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5.430418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1.668241</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506ED8" w:rsidRDefault="001013CB" w:rsidP="00AB501F">
            <w:pPr>
              <w:autoSpaceDE w:val="0"/>
              <w:autoSpaceDN w:val="0"/>
              <w:adjustRightInd w:val="0"/>
              <w:jc w:val="center"/>
              <w:rPr>
                <w:rFonts w:ascii="Arial" w:hAnsi="Arial" w:cs="Arial"/>
                <w:color w:val="000000"/>
                <w:sz w:val="14"/>
                <w:szCs w:val="18"/>
              </w:rPr>
            </w:pPr>
            <w:r w:rsidRPr="00506ED8">
              <w:rPr>
                <w:rFonts w:ascii="Arial" w:hAnsi="Arial" w:cs="Arial"/>
                <w:color w:val="000000"/>
                <w:sz w:val="14"/>
                <w:szCs w:val="18"/>
              </w:rPr>
              <w:t> Variance Decomposition of 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17.81111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6.840162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28.75119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36.29086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28.11779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33.06624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27.39340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9.147032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35.81671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25.23789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2.404974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36.17314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23.86110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18.80020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33.47575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21.09639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2.766558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40.05286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29.49018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16.62479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27.44973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22.89116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3.544147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42.35003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28.06791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16.26912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24.80706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24.93273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5.923186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45.99820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26.29072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14.25575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32.90274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21.38790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5.162890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53.16111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26.60034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26.73012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26.62252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16.12793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3.919086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61.48245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24.54068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34.83474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23.37128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13.70837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3.544935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82.41527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57.22476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19.53241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13.18794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8.047380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2.007511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88.93806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61.28875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17.64058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12.35625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6.911280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1.803133</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506ED8" w:rsidRDefault="001013CB" w:rsidP="00AB501F">
            <w:pPr>
              <w:autoSpaceDE w:val="0"/>
              <w:autoSpaceDN w:val="0"/>
              <w:adjustRightInd w:val="0"/>
              <w:jc w:val="center"/>
              <w:rPr>
                <w:rFonts w:ascii="Arial" w:hAnsi="Arial" w:cs="Arial"/>
                <w:color w:val="000000"/>
                <w:sz w:val="14"/>
                <w:szCs w:val="18"/>
              </w:rPr>
            </w:pPr>
            <w:r w:rsidRPr="00506ED8">
              <w:rPr>
                <w:rFonts w:ascii="Arial" w:hAnsi="Arial" w:cs="Arial"/>
                <w:color w:val="000000"/>
                <w:sz w:val="14"/>
                <w:szCs w:val="18"/>
              </w:rPr>
              <w:t> Variance Decomposition of DDNEXV:</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DDNM</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97.20318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0.164909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48.36981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7.992045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34.46143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9.011802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99.65514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0.675996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46.22678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9.821875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33.36688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9.908461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112.1444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8.485374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47.34740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7.764595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28.08685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8.315786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128.2752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15.09877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40.32040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6.021393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30.02586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8.533571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137.2848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13.18277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35.20292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17.77509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26.36575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7.473473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143.4137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13.42969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32.36976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22.57782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24.57318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7.049543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144.3710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13.89708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31.96118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22.30381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24.48405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7.353871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177.6574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29.43506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21.16341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27.01054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17.38510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5.005883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185.3313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27.16422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19.72697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31.94891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16.55907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4.600826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193.2259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31.10787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18.28659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29.74150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16.49003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4.374002</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506ED8" w:rsidRDefault="001013CB" w:rsidP="00AB501F">
            <w:pPr>
              <w:autoSpaceDE w:val="0"/>
              <w:autoSpaceDN w:val="0"/>
              <w:adjustRightInd w:val="0"/>
              <w:jc w:val="center"/>
              <w:rPr>
                <w:rFonts w:ascii="Arial" w:hAnsi="Arial" w:cs="Arial"/>
                <w:color w:val="000000"/>
                <w:sz w:val="12"/>
                <w:szCs w:val="18"/>
              </w:rPr>
            </w:pPr>
            <w:r w:rsidRPr="00506ED8">
              <w:rPr>
                <w:rFonts w:ascii="Arial" w:hAnsi="Arial" w:cs="Arial"/>
                <w:color w:val="000000"/>
                <w:sz w:val="12"/>
                <w:szCs w:val="18"/>
              </w:rPr>
              <w:t> Cholesky Ordering: DDNM DDNGDP DDIWP DDNWP DDNEXV</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663"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bl>
    <w:p w:rsidR="001013CB" w:rsidRDefault="001013CB" w:rsidP="001013CB">
      <w:r>
        <w:rPr>
          <w:rFonts w:ascii="Arial" w:hAnsi="Arial" w:cs="Arial"/>
          <w:sz w:val="18"/>
          <w:szCs w:val="18"/>
        </w:rPr>
        <w:br/>
      </w:r>
    </w:p>
    <w:p w:rsidR="001013CB" w:rsidRDefault="001013CB" w:rsidP="001013CB">
      <w:r>
        <w:t xml:space="preserve"> </w:t>
      </w:r>
    </w:p>
    <w:p w:rsidR="001013CB" w:rsidRDefault="001013CB" w:rsidP="001013CB">
      <w:r>
        <w:br w:type="page"/>
      </w:r>
    </w:p>
    <w:p w:rsidR="001013CB" w:rsidRDefault="001013CB" w:rsidP="001013CB">
      <w:r>
        <w:t>VAR Results of Equation Two (export equation) at 4 Lags</w:t>
      </w:r>
    </w:p>
    <w:p w:rsidR="001013CB" w:rsidRDefault="001013CB" w:rsidP="001013CB">
      <w:pPr>
        <w:autoSpaceDE w:val="0"/>
        <w:autoSpaceDN w:val="0"/>
        <w:adjustRightInd w:val="0"/>
        <w:rPr>
          <w:rFonts w:ascii="Arial" w:hAnsi="Arial" w:cs="Arial"/>
          <w:sz w:val="18"/>
          <w:szCs w:val="18"/>
        </w:rPr>
      </w:pPr>
    </w:p>
    <w:tbl>
      <w:tblPr>
        <w:tblW w:w="0" w:type="auto"/>
        <w:tblInd w:w="60" w:type="dxa"/>
        <w:tblLayout w:type="fixed"/>
        <w:tblCellMar>
          <w:left w:w="30" w:type="dxa"/>
          <w:right w:w="30" w:type="dxa"/>
        </w:tblCellMar>
        <w:tblLook w:val="0000"/>
      </w:tblPr>
      <w:tblGrid>
        <w:gridCol w:w="2396"/>
        <w:gridCol w:w="1386"/>
        <w:gridCol w:w="1386"/>
        <w:gridCol w:w="1386"/>
        <w:gridCol w:w="1386"/>
        <w:gridCol w:w="1386"/>
      </w:tblGrid>
      <w:tr w:rsidR="001013CB" w:rsidTr="00AB501F">
        <w:trPr>
          <w:trHeight w:val="255"/>
        </w:trPr>
        <w:tc>
          <w:tcPr>
            <w:tcW w:w="2396"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Vector Autoregression Estimates</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Date: 09/17/12   Time: 00:59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3"/>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Sample (adjusted): 1985 2011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Included observations: 27 after adjustments</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4"/>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Standard errors in ( ) &amp; t-statistics in [ ]</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239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239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-0.034854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2.112972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0.001769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0.001473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-0.040209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(0.51434)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(1.96840)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(0.00671)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(0.00161)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(0.03748)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[-0.06777]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[ 1.07345]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[ 0.26358]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[ 0.91651]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[-1.07285]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-0.973601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-1.151460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-0.005266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0.000501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0.006932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(0.35086)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(1.34278)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(0.00458)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(0.00110)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(0.02557)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[-2.77486]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[-0.85752]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[-1.15003]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[ 0.45736]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[ 0.27112]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0.217149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2.281869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0.006848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0.001128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-0.057783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(0.60499)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(2.31535)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(0.00790)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(0.00189)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(0.04409)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[ 0.35893]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[ 0.98554]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[ 0.86725]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[ 0.59707]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[-1.31072]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-1.253862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-0.985198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-0.008059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0.005510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0.038786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(0.55045)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(2.10660)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(0.00718)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(0.00172)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(0.04011)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[-2.27789]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[-0.46767]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[-1.12179]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[ 3.20423]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[ 0.96697]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0.001859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-1.542870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-0.004270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-5.57E-05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0.002735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(0.13287)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(0.50850)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(0.00173)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(0.00042)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(0.00968)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[ 0.01399]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[-3.03413]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[-2.46212]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[-0.13432]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[ 0.28246]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0.051068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-1.315216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-0.005907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-0.000301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0.007408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(0.19307)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(0.73888)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(0.00252)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(0.00060)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(0.01407)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[ 0.26451]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[-1.78001]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[-2.34409]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[-0.49830]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[ 0.52653]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0.143015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-0.911133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-0.005887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-9.65E-05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0.008822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(0.19715)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(0.75451)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(0.00257)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(0.00062)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(0.01437)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[ 0.72541]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[-1.20758]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[-2.28772]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[-0.15669]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[ 0.61409]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0.074730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-0.854998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-0.002374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-0.000392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0.014791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(0.16467)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(0.63021)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(0.00215)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(0.00051)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(0.01200)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[ 0.45381]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[-1.35668]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[-1.10453]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[-0.76292]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[ 1.23266]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0.712473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-17.93219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-0.890374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0.043503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0.337439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(15.2263)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(58.2719)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(0.19873)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(0.04756)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(1.10952)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[ 0.04679]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[-0.30773]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[-4.48037]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[ 0.91465]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[ 0.30413]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12.85768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-74.19050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-1.344862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0.163332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0.828115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(21.4318)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(82.0207)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(0.27972)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(0.06695)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(1.56171)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[ 0.59994]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[-0.90453]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[-4.80788]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[ 2.43972]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[ 0.53026]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-31.57460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-131.4238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-1.343572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0.007416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2.307763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(32.0620)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(122.703)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(0.41846)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(0.10015)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(2.33632)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[-0.98480]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[-1.07107]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[-3.21073]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[ 0.07405]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[ 0.98778]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29.55965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100.7051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-0.616366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-0.034239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-1.499053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(27.0367)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(103.471)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(0.35287)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(0.08446)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(1.97013)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[ 1.09332]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[ 0.97327]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[-1.74670]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[-0.40542]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[-0.76089]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131.1100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708.1740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1.622713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-0.995927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-10.80689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(145.485)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(556.781)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(1.89882)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(0.45446)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(10.6013)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[ 0.90119]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[ 1.27191]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[ 0.85459]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[-2.19147]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[-1.01939]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-127.9089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244.2852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0.912486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0.269849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0.911598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(109.503)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(419.073)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(1.42919)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(0.34206)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(7.97932)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[-1.16809]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[ 0.58292]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[ 0.63846]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[ 0.78890]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[ 0.11425]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-43.03519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-136.8340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0.773584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0.294684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1.108195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(122.626)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(469.297)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(1.60047)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(0.38305)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(8.93560)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[-0.35095]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[-0.29157]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[ 0.48335]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[ 0.76931]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[ 0.12402]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-14.28756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-145.0885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-1.502541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0.116406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-3.877118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(94.9502)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(363.380)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(1.23926)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(0.29660)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(6.91891)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[-0.15047]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[-0.39927]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[-1.21245]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[ 0.39247]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[-0.56037]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-11.42268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-24.95262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0.021243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-0.001182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0.532321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(7.35618)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(28.1526)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(0.09601)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(0.02298)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(0.53604)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[-1.55280]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[-0.88633]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[ 0.22126]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[-0.05142]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[ 0.99307]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3.977250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27.01382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-0.017893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-0.015010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-0.847014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(6.68420)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(25.5809)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(0.08724)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(0.02088)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(0.48707)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[ 0.59502]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[ 1.05602]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[-0.20511]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[-0.71889]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[-1.73900]</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0.534171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-5.044520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0.101787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-0.028888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-0.351858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(6.01458)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(23.0182)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(0.07850)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(0.01879)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(0.43828)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[ 0.08881]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[-0.21915]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[ 1.29664]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[-1.53757]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[-0.80282]</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-2.133026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6.232703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-0.084354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-0.002236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0.050304</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(5.38193)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(20.5970)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(0.07024)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(0.01681)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(0.39218)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[-0.39633]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[ 0.30260]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[-1.20089]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[-0.13299]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[ 0.12827]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3.735910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1127.601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5.434368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0.055847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-5.083043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(305.944)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(1170.87)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(3.99308)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(0.95568)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(22.2938)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[ 0.01221]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[ 0.96305]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[ 1.36095]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[ 0.05844]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[-0.22800]</w:t>
            </w:r>
          </w:p>
        </w:tc>
      </w:tr>
      <w:tr w:rsidR="001013CB" w:rsidTr="00AB501F">
        <w:trPr>
          <w:trHeight w:hRule="exact" w:val="102"/>
        </w:trPr>
        <w:tc>
          <w:tcPr>
            <w:tcW w:w="239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R-squared</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0.926493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0.734737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0.962213</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0.966962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0.606366</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Adj. R-squared</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0.681471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-0.149474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0.836256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0.856837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-0.705747</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Sum sq. resids</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12582300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1.84E+08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2143.346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122.7739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66810.35</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S.E. equation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1448.119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5542.047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18.90038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4.523530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105.5228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F-statistic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3.781262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0.830952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7.639246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8.780557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0.462129</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lastRenderedPageBreak/>
              <w:t> Log likelihood</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-214.5129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-250.7495</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-97.36421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-58.75720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-143.7973</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Akaike AIC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17.44540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20.12959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8.767719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5.907940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12.20721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Schwarz SC</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18.45327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21.13747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9.775592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6.915814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13.21508</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Mean dependent</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116.2339</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387.8296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-0.298444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0.579556</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-6.442741</w:t>
            </w:r>
          </w:p>
        </w:tc>
      </w:tr>
      <w:tr w:rsidR="001013CB" w:rsidTr="00AB501F">
        <w:trPr>
          <w:trHeight w:val="255"/>
        </w:trPr>
        <w:tc>
          <w:tcPr>
            <w:tcW w:w="2396"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S.D. dependent</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2565.842</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5169.168</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46.70770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11.95534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80.79582</w:t>
            </w:r>
          </w:p>
        </w:tc>
      </w:tr>
      <w:tr w:rsidR="001013CB" w:rsidTr="00AB501F">
        <w:trPr>
          <w:trHeight w:hRule="exact" w:val="102"/>
        </w:trPr>
        <w:tc>
          <w:tcPr>
            <w:tcW w:w="239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Determinant resid covariance (dof adj.)</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4.62E+17</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Determinant resid covariance</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2.50E+14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Log likelihood</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-639.1300</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Akaike information criterion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55.12074</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2396" w:type="dxa"/>
            <w:gridSpan w:val="2"/>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Schwarz criterion</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60.16011</w:t>
            </w: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239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239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386"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bl>
    <w:p w:rsidR="001013CB" w:rsidRDefault="001013CB" w:rsidP="001013CB">
      <w:r>
        <w:rPr>
          <w:rFonts w:ascii="Arial" w:hAnsi="Arial" w:cs="Arial"/>
          <w:sz w:val="18"/>
          <w:szCs w:val="18"/>
        </w:rPr>
        <w:br/>
      </w:r>
    </w:p>
    <w:p w:rsidR="001013CB" w:rsidRDefault="001013CB" w:rsidP="001013CB">
      <w:r>
        <w:br w:type="page"/>
      </w:r>
    </w:p>
    <w:p w:rsidR="001013CB" w:rsidRDefault="001013CB" w:rsidP="001013CB">
      <w:r>
        <w:t>Impulse Responses of Equation Two (export equation) at 4 Lags</w:t>
      </w:r>
    </w:p>
    <w:p w:rsidR="001013CB" w:rsidRDefault="006524F9" w:rsidP="001013CB">
      <w:r>
        <w:rPr>
          <w:noProof/>
        </w:rPr>
        <w:drawing>
          <wp:inline distT="0" distB="0" distL="0" distR="0">
            <wp:extent cx="5950585" cy="4817745"/>
            <wp:effectExtent l="19050" t="0" r="0" b="0"/>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6" cstate="print"/>
                    <a:srcRect/>
                    <a:stretch>
                      <a:fillRect/>
                    </a:stretch>
                  </pic:blipFill>
                  <pic:spPr bwMode="auto">
                    <a:xfrm>
                      <a:off x="0" y="0"/>
                      <a:ext cx="5950585" cy="4817745"/>
                    </a:xfrm>
                    <a:prstGeom prst="rect">
                      <a:avLst/>
                    </a:prstGeom>
                    <a:noFill/>
                    <a:ln w="9525">
                      <a:noFill/>
                      <a:miter lim="800000"/>
                      <a:headEnd/>
                      <a:tailEnd/>
                    </a:ln>
                  </pic:spPr>
                </pic:pic>
              </a:graphicData>
            </a:graphic>
          </wp:inline>
        </w:drawing>
      </w:r>
    </w:p>
    <w:p w:rsidR="001013CB" w:rsidRDefault="001013CB" w:rsidP="001013CB">
      <w:r>
        <w:br w:type="page"/>
      </w:r>
    </w:p>
    <w:p w:rsidR="001013CB" w:rsidRDefault="001013CB" w:rsidP="001013CB">
      <w:r>
        <w:t>Impulse Response Table of Equation Two at 4 Lags</w:t>
      </w:r>
    </w:p>
    <w:p w:rsidR="001013CB" w:rsidRDefault="001013CB" w:rsidP="001013CB">
      <w:pPr>
        <w:autoSpaceDE w:val="0"/>
        <w:autoSpaceDN w:val="0"/>
        <w:adjustRightInd w:val="0"/>
        <w:rPr>
          <w:rFonts w:ascii="Arial" w:hAnsi="Arial" w:cs="Arial"/>
          <w:sz w:val="18"/>
          <w:szCs w:val="18"/>
        </w:rPr>
      </w:pPr>
    </w:p>
    <w:tbl>
      <w:tblPr>
        <w:tblW w:w="0" w:type="auto"/>
        <w:tblInd w:w="60" w:type="dxa"/>
        <w:tblLayout w:type="fixed"/>
        <w:tblCellMar>
          <w:left w:w="30" w:type="dxa"/>
          <w:right w:w="30" w:type="dxa"/>
        </w:tblCellMar>
        <w:tblLook w:val="0000"/>
      </w:tblPr>
      <w:tblGrid>
        <w:gridCol w:w="663"/>
        <w:gridCol w:w="1271"/>
        <w:gridCol w:w="1270"/>
        <w:gridCol w:w="1271"/>
        <w:gridCol w:w="1270"/>
        <w:gridCol w:w="1271"/>
      </w:tblGrid>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2"/>
                <w:szCs w:val="18"/>
              </w:rPr>
            </w:pPr>
            <w:r w:rsidRPr="00DB691B">
              <w:rPr>
                <w:rFonts w:ascii="Arial" w:hAnsi="Arial" w:cs="Arial"/>
                <w:color w:val="000000"/>
                <w:sz w:val="12"/>
                <w:szCs w:val="18"/>
              </w:rPr>
              <w:t> Response of DDNX:</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1448.119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(197.064)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-1086.972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372.6499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-72.35048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598.0051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-39.41104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(578.146)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(431.755)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(336.446)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(510.612)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(25.9411)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-527.6552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-369.4226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499.6675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-321.4768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-6.525530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(722.782)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(618.738)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(538.009)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(706.471)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(23.7530)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653.9372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150.4979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-958.5612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103.5213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38.04295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(1062.78)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(699.061)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(567.210)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(740.115)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(28.2789)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-268.5651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-167.1525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625.3819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-919.6639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17.21357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(1391.25)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(802.679)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(627.596)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(813.289)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(29.4309)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1095.249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-265.4052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151.1933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718.0424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4.456877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(1452.11)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(864.320)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(685.777)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(891.045)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(31.2454)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-2045.733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514.2480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169.0349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-521.5393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-21.07776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(1681.93)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(953.718)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(961.875)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(1043.79)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(35.8554)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659.2278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-599.8492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-626.4817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862.7618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-4.135406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(2001.84)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(1285.50)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(1530.44)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(1671.03)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(46.1496)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412.0256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229.3796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-601.2780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-835.9077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37.70594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(2604.43)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(1531.74)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(1758.06)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(2108.90)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(44.0636)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933.1821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573.1407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1955.700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-139.4524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-49.92833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(3886.21)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(1551.24)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(1900.57)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(2145.70)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(66.5647)</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2"/>
                <w:szCs w:val="18"/>
              </w:rPr>
            </w:pPr>
            <w:r w:rsidRPr="00DB691B">
              <w:rPr>
                <w:rFonts w:ascii="Arial" w:hAnsi="Arial" w:cs="Arial"/>
                <w:color w:val="000000"/>
                <w:sz w:val="12"/>
                <w:szCs w:val="18"/>
              </w:rPr>
              <w:t> Response of DDIGDP: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3276.953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4469.437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(968.869)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(608.213)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-4223.871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-4897.130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-1316.426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2422.811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-86.09261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(2408.86)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(1794.69)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(1308.22)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(1956.99)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(97.8373)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1612.788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1742.810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1724.617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-3332.957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92.72938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(3335.86)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(2849.67)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(2541.48)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(3272.33)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(110.536)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1730.801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-932.5119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-42.43200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1564.115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-33.75095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(4388.12)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(3049.95)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(2991.33)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(3797.51)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(100.507)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-2055.515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846.5513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-1046.690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197.2986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-2.562848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(6219.33)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(3076.73)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(3032.68)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(3923.77)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(108.979)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91.81826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-167.0858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1188.714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-699.4027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-15.29121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(7302.82)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(3280.95)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(2797.21)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(3836.69)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(107.944)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-195.0050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-8.322698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-1751.826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848.5761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50.53278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(8212.36)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(3398.37)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(2843.41)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(3500.99)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(104.130)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-647.8471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-219.3125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2173.394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-2400.818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5.339725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(8790.56)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(3819.69)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(4149.71)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(3733.23)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(101.103)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4604.012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314.9893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-2062.261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3136.216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2.724565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(7975.46)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(4909.09)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(5852.76)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(5591.70)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(109.880)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-6586.812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-281.8720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1932.779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-2043.451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-85.68866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(9253.20)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(5663.21)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(7626.36)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(7329.57)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(183.035)</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2"/>
                <w:szCs w:val="18"/>
              </w:rPr>
            </w:pPr>
            <w:r w:rsidRPr="00DB691B">
              <w:rPr>
                <w:rFonts w:ascii="Arial" w:hAnsi="Arial" w:cs="Arial"/>
                <w:color w:val="000000"/>
                <w:sz w:val="12"/>
                <w:szCs w:val="18"/>
              </w:rPr>
              <w:t> Response of 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14.97392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-0.918762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11.49617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(3.01303)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(2.21597)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(1.56443)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-21.29160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-13.70067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-14.22104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3.828887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0.073295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(8.56838)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(6.36609)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(4.61392)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(6.59903)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(0.33141)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-10.38843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5.763234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5.811590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-14.97940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0.203267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(13.1337)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(11.0247)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(9.75113)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(12.7095)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(0.46013)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38.05668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11.52791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-4.261024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10.25834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0.170287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(18.7383)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(12.7313)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(10.6813)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(14.4308)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(0.54794)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-30.62109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5.273535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10.05837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0.285062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-0.851095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(29.1798)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(17.9738)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(13.8201)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(19.0752)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(0.77729)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7.753373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-9.150481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-5.553848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14.90499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-0.126136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(31.6498)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(21.2034)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(17.1469)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(22.0250)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(0.70696)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-6.902952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-19.96882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-14.73361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-18.57443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0.941702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(35.0282)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(21.9278)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(20.8282)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(23.7882)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(0.77988)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26.89479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16.92375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25.00403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-13.19044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0.157009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(42.1164)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(24.6800)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(26.6241)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(28.9868)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(0.93845)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-3.125599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11.52534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-11.50322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27.81450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-0.669557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(52.5383)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(30.3774)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(33.8856)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(40.9155)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(1.12128)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-48.33944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-3.741954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8.843202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-9.224658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-0.786850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(76.4037)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(33.7836)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(37.6431)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(44.7549)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(1.17769)</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2"/>
                <w:szCs w:val="18"/>
              </w:rPr>
            </w:pPr>
            <w:r w:rsidRPr="00DB691B">
              <w:rPr>
                <w:rFonts w:ascii="Arial" w:hAnsi="Arial" w:cs="Arial"/>
                <w:color w:val="000000"/>
                <w:sz w:val="12"/>
                <w:szCs w:val="18"/>
              </w:rPr>
              <w:t> Response of 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0.809798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2.809206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-2.215286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2.647153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(0.86355)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(0.76644)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(0.59196)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(0.36023)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1.674658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-3.087242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2.728094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-2.610413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-0.004077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(1.94913)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(1.53841)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(1.16790)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(1.61402)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(0.07928)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-3.078658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2.582475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-1.834378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4.603540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-0.099943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(2.73786)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(2.34535)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(2.08406)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(2.56120)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(0.08561)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-1.797906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-3.748724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1.187389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-4.025528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-0.016027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(3.93485)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(2.88587)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(2.85760)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(3.63621)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(0.10681)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7.120480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4.054311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-2.944740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5.176457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-0.030677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(5.70644)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(3.52375)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(3.59163)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(4.47649)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(0.12683)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-6.400145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0.508986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4.349823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-3.825455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-0.113905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(8.06192)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(4.65074)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(4.48678)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(6.00099)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(0.18529)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3.780512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-3.553174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-1.927660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5.081913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-0.001981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(10.8665)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(5.31531)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(4.80565)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(6.81413)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(0.18150)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-5.496881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3.593151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-2.910135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-5.430350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0.191436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(13.7234)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(5.97957)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(5.29042)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(7.06977)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(0.19600)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5.928170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-8.021604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5.127329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-0.305826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0.019665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(14.5612)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(7.39425)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(6.79367)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(8.04777)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(0.22653)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-0.058174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10.33618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-4.157907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1.876431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0.084123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(14.8268)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(8.74573)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(10.3561)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(10.7044)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(0.23808)</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2"/>
                <w:szCs w:val="18"/>
              </w:rPr>
            </w:pPr>
            <w:r w:rsidRPr="00DB691B">
              <w:rPr>
                <w:rFonts w:ascii="Arial" w:hAnsi="Arial" w:cs="Arial"/>
                <w:color w:val="000000"/>
                <w:sz w:val="12"/>
                <w:szCs w:val="18"/>
              </w:rPr>
              <w:lastRenderedPageBreak/>
              <w:t> Response of DDNEXV:</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101.5026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0.290573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-18.37616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-21.96829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3.450244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(14.8868)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(5.55189)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(4.95667)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(3.06236)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(0.46952)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1.067304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-18.29098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18.03760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-40.30169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1.836639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(40.5516)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(31.3534)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(24.4175)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(37.1369)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(1.86627)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-31.08318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25.28820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-2.304625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11.65017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-0.526690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(44.7385)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(36.2978)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(26.1390)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(40.9735)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(1.91187)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-72.01362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15.07919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0.903834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22.89107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-2.239307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(62.7122)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(39.9831)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(27.4906)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(40.1978)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(1.84325)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57.62985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3.153391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-7.174550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9.847469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-0.208634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(72.9498)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(50.4454)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(29.8588)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(43.2025)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(2.40597)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5.909922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-26.23572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-18.87803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1.645657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0.206042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(75.0774)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(53.4261)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(33.9799)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(49.7413)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(2.30394)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64.36189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-7.544196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35.89615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-29.43697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0.463251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(106.740)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(53.0624)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(36.6798)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(48.9280)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(2.31744)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-11.75169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41.71162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-10.28374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40.03518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-1.165136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(118.362)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(66.8085)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(37.0881)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(54.9160)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(2.80077)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-111.8470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-12.16604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14.52769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-19.69149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-0.709560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(115.804)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(71.4886)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(47.5852)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(63.5882)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(2.86639)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37.77930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-27.57901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-54.53359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3.631687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3.236993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(113.525)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(81.0076)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(90.9215)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(78.0896)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(3.30266)</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2"/>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2"/>
                <w:szCs w:val="18"/>
              </w:rPr>
            </w:pPr>
            <w:r w:rsidRPr="00DB691B">
              <w:rPr>
                <w:rFonts w:ascii="Arial" w:hAnsi="Arial" w:cs="Arial"/>
                <w:color w:val="000000"/>
                <w:sz w:val="12"/>
                <w:szCs w:val="18"/>
              </w:rPr>
              <w:t> Cholesky Ordering: DDNX DDIGDP DDNWP DDIWP DDNEXV</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2"/>
                <w:szCs w:val="18"/>
              </w:rPr>
            </w:pPr>
            <w:r w:rsidRPr="00DB691B">
              <w:rPr>
                <w:rFonts w:ascii="Arial" w:hAnsi="Arial" w:cs="Arial"/>
                <w:color w:val="000000"/>
                <w:sz w:val="12"/>
                <w:szCs w:val="18"/>
              </w:rPr>
              <w:t> Standard Errors: Analytic</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663"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bl>
    <w:p w:rsidR="001013CB" w:rsidRDefault="001013CB" w:rsidP="001013CB">
      <w:r>
        <w:rPr>
          <w:rFonts w:ascii="Arial" w:hAnsi="Arial" w:cs="Arial"/>
          <w:sz w:val="18"/>
          <w:szCs w:val="18"/>
        </w:rPr>
        <w:br/>
      </w:r>
    </w:p>
    <w:p w:rsidR="001013CB" w:rsidRDefault="001013CB" w:rsidP="001013CB">
      <w:r>
        <w:br w:type="page"/>
      </w:r>
    </w:p>
    <w:p w:rsidR="001013CB" w:rsidRDefault="001013CB" w:rsidP="001013CB">
      <w:r>
        <w:t>Variance Decomposition Test Results of Equation Two at 4 Lags</w:t>
      </w:r>
    </w:p>
    <w:p w:rsidR="001013CB" w:rsidRDefault="006524F9" w:rsidP="001013CB">
      <w:r>
        <w:rPr>
          <w:noProof/>
        </w:rPr>
        <w:drawing>
          <wp:inline distT="0" distB="0" distL="0" distR="0">
            <wp:extent cx="5950585" cy="4926965"/>
            <wp:effectExtent l="19050" t="0" r="0" b="0"/>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7" cstate="print"/>
                    <a:srcRect/>
                    <a:stretch>
                      <a:fillRect/>
                    </a:stretch>
                  </pic:blipFill>
                  <pic:spPr bwMode="auto">
                    <a:xfrm>
                      <a:off x="0" y="0"/>
                      <a:ext cx="5950585" cy="4926965"/>
                    </a:xfrm>
                    <a:prstGeom prst="rect">
                      <a:avLst/>
                    </a:prstGeom>
                    <a:noFill/>
                    <a:ln w="9525">
                      <a:noFill/>
                      <a:miter lim="800000"/>
                      <a:headEnd/>
                      <a:tailEnd/>
                    </a:ln>
                  </pic:spPr>
                </pic:pic>
              </a:graphicData>
            </a:graphic>
          </wp:inline>
        </w:drawing>
      </w:r>
    </w:p>
    <w:p w:rsidR="001013CB" w:rsidRDefault="001013CB" w:rsidP="001013CB">
      <w:r>
        <w:br w:type="page"/>
      </w:r>
    </w:p>
    <w:p w:rsidR="001013CB" w:rsidRDefault="001013CB" w:rsidP="001013CB">
      <w:r>
        <w:t>Variance Decomposition</w:t>
      </w:r>
      <w:r w:rsidR="00015A79">
        <w:t xml:space="preserve"> Table</w:t>
      </w:r>
      <w:r>
        <w:t xml:space="preserve"> Test Results of Equation Two at 4 Lags</w:t>
      </w:r>
    </w:p>
    <w:p w:rsidR="001013CB" w:rsidRDefault="001013CB" w:rsidP="001013CB">
      <w:pPr>
        <w:autoSpaceDE w:val="0"/>
        <w:autoSpaceDN w:val="0"/>
        <w:adjustRightInd w:val="0"/>
        <w:rPr>
          <w:rFonts w:ascii="Arial" w:hAnsi="Arial" w:cs="Arial"/>
          <w:sz w:val="18"/>
          <w:szCs w:val="18"/>
        </w:rPr>
      </w:pPr>
    </w:p>
    <w:tbl>
      <w:tblPr>
        <w:tblW w:w="0" w:type="auto"/>
        <w:tblInd w:w="60" w:type="dxa"/>
        <w:tblLayout w:type="fixed"/>
        <w:tblCellMar>
          <w:left w:w="30" w:type="dxa"/>
          <w:right w:w="30" w:type="dxa"/>
        </w:tblCellMar>
        <w:tblLook w:val="0000"/>
      </w:tblPr>
      <w:tblGrid>
        <w:gridCol w:w="663"/>
        <w:gridCol w:w="1271"/>
        <w:gridCol w:w="1270"/>
        <w:gridCol w:w="1271"/>
        <w:gridCol w:w="1270"/>
        <w:gridCol w:w="1271"/>
        <w:gridCol w:w="1270"/>
      </w:tblGrid>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4"/>
                <w:szCs w:val="18"/>
              </w:rPr>
            </w:pPr>
            <w:r w:rsidRPr="00DB691B">
              <w:rPr>
                <w:rFonts w:ascii="Arial" w:hAnsi="Arial" w:cs="Arial"/>
                <w:color w:val="000000"/>
                <w:sz w:val="14"/>
                <w:szCs w:val="18"/>
              </w:rPr>
              <w:t> Variance Decomposition of DDNX:</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1448.119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1944.691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86.69251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3.671984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0.138414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9.456021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0.041071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2133.020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78.17922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6.051752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5.602523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10.13143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0.035075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2435.377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67.18210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5.024239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19.78974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7.952608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0.051307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2695.980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55.81407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4.484271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21.52969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18.12603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0.045944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3012.770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57.90938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4.366862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17.49192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20.19483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0.037009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3718.505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68.28048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4.779116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11.68904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15.22385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0.027507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3969.702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62.67026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6.476750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12.74710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18.08164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0.024245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4128.270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58.94448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6.297484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13.90803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20.81925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0.030760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4699.854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49.42138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6.346006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28.04634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16.15125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0.035019</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4"/>
                <w:szCs w:val="18"/>
              </w:rPr>
            </w:pPr>
            <w:r w:rsidRPr="00DB691B">
              <w:rPr>
                <w:rFonts w:ascii="Arial" w:hAnsi="Arial" w:cs="Arial"/>
                <w:color w:val="000000"/>
                <w:sz w:val="14"/>
                <w:szCs w:val="18"/>
              </w:rPr>
              <w:t> Variance Decomposition of DDIGDP: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5542.047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34.96230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65.03770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8952.523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35.65857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54.84595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2.162232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7.323998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0.009248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9993.880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31.21880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47.05271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4.713047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16.99942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0.016030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10304.96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32.18338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45.07362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4.434485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18.29236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0.016150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10595.69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34.20495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43.27245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5.170317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17.33700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0.015282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10686.78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33.63167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42.56230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6.319804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17.47100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0.015227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10864.48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32.57273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41.18146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8.714706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17.51421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0.016896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11357.48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30.13168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37.72118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11.63651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20.49514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0.015483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12820.97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36.54063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29.66143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11.71885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22.06693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0.012155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14688.82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47.94673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22.63430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10.65935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18.74695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0.012663</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4"/>
                <w:szCs w:val="18"/>
              </w:rPr>
            </w:pPr>
            <w:r w:rsidRPr="00DB691B">
              <w:rPr>
                <w:rFonts w:ascii="Arial" w:hAnsi="Arial" w:cs="Arial"/>
                <w:color w:val="000000"/>
                <w:sz w:val="14"/>
                <w:szCs w:val="18"/>
              </w:rPr>
              <w:t> Variance Decomposition of 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18.90038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62.76680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0.236301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36.99690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34.85927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55.75773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15.51657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27.51881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1.206448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0.000442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40.18086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48.65093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13.73597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22.80423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14.80598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0.002892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57.61183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67.30031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10.68536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11.63955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10.37251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0.002280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66.23112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72.29881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8.719140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11.11353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7.850285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0.018239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69.16232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67.55713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9.746186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10.83631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11.84332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0.017058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76.11049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56.60808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14.93154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12.69551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15.73548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0.029394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87.18810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52.65260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15.14607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17.89884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14.27976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0.022724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93.00961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46.38071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14.84492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17.25799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21.49123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0.025151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105.6665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56.86311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11.62703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14.07163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17.41320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0.025031</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4"/>
                <w:szCs w:val="18"/>
              </w:rPr>
            </w:pPr>
            <w:r w:rsidRPr="00DB691B">
              <w:rPr>
                <w:rFonts w:ascii="Arial" w:hAnsi="Arial" w:cs="Arial"/>
                <w:color w:val="000000"/>
                <w:sz w:val="14"/>
                <w:szCs w:val="18"/>
              </w:rPr>
              <w:lastRenderedPageBreak/>
              <w:t> Variance Decomposition of DDIWP: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4.523530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3.204785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38.56668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23.98307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34.24547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0.000000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6.859638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7.353690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37.02654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26.24607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29.37367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3.53E-05</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9.368536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14.74133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27.44905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17.90479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39.89344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0.011400</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11.07564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13.18241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31.09550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13.96009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41.75363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0.008366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15.00922</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29.68442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24.22898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11.45095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34.63068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0.004973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17.32240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35.93678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18.27644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14.90250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30.87623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0.008057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18.88186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34.25463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18.92333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13.58480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33.23046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0.006783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20.91998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34.80944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18.36581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13.00186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33.80899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0.013899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23.73854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33.27047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25.68209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14.76289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26.27369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0.010863</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26.29020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27.12608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36.39600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14.53754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21.93050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0.009881</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4"/>
                <w:szCs w:val="18"/>
              </w:rPr>
            </w:pPr>
            <w:r w:rsidRPr="00DB691B">
              <w:rPr>
                <w:rFonts w:ascii="Arial" w:hAnsi="Arial" w:cs="Arial"/>
                <w:color w:val="000000"/>
                <w:sz w:val="14"/>
                <w:szCs w:val="18"/>
              </w:rPr>
              <w:t> Variance Decomposition of DDNEXV:</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rPr>
                <w:rFonts w:ascii="Arial" w:hAnsi="Arial" w:cs="Arial"/>
                <w:color w:val="000000"/>
                <w:sz w:val="18"/>
                <w:szCs w:val="18"/>
              </w:rPr>
            </w:pPr>
            <w:r>
              <w:rPr>
                <w:rFonts w:ascii="Arial" w:hAnsi="Arial" w:cs="Arial"/>
                <w:color w:val="000000"/>
                <w:sz w:val="18"/>
                <w:szCs w:val="18"/>
              </w:rPr>
              <w:t> Period</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S.E.</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DDNX</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DDIGDP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DDNWP</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DDIWP</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DDNEXV</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105.5228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92.52561</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0.000758</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3.032615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4.334110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0.106907</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115.8607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76.75909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2.492935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4.939308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15.69485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0.113809</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123.1693</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74.28856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6.421184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4.405535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14.78219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0.102532</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145.3061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77.93954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5.690667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3.169324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13.10305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0.097421</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156.8231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80.41657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4.925951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2.930209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11.64345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0.083814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160.2369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77.16263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7.399075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4.194682</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11.16317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0.080446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178.9707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74.78688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6.108835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7.385316</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11.65381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0.065156</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188.7284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67.64123</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10.37820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6.938295</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14.97987</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0.062404</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221.0780</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74.88924</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7.866036</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5.488158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11.71005</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0.046508</w:t>
            </w:r>
          </w:p>
        </w:tc>
      </w:tr>
      <w:tr w:rsidR="001013CB" w:rsidTr="00AB501F">
        <w:trPr>
          <w:trHeight w:val="255"/>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232.5101</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70.34609</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8.518469</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10.46278</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10.61124</w:t>
            </w: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r>
              <w:rPr>
                <w:rFonts w:ascii="Arial" w:hAnsi="Arial" w:cs="Arial"/>
                <w:color w:val="000000"/>
                <w:sz w:val="18"/>
                <w:szCs w:val="18"/>
              </w:rPr>
              <w:t> 0.061429</w:t>
            </w:r>
          </w:p>
        </w:tc>
      </w:tr>
      <w:tr w:rsidR="001013CB" w:rsidTr="00AB501F">
        <w:trPr>
          <w:trHeight w:hRule="exact" w:val="102"/>
        </w:trPr>
        <w:tc>
          <w:tcPr>
            <w:tcW w:w="663"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2"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val="255"/>
        </w:trPr>
        <w:tc>
          <w:tcPr>
            <w:tcW w:w="663" w:type="dxa"/>
            <w:tcBorders>
              <w:top w:val="nil"/>
              <w:left w:val="nil"/>
              <w:bottom w:val="nil"/>
              <w:right w:val="nil"/>
            </w:tcBorders>
            <w:vAlign w:val="bottom"/>
          </w:tcPr>
          <w:p w:rsidR="001013CB" w:rsidRPr="00DB691B" w:rsidRDefault="001013CB" w:rsidP="00AB501F">
            <w:pPr>
              <w:autoSpaceDE w:val="0"/>
              <w:autoSpaceDN w:val="0"/>
              <w:adjustRightInd w:val="0"/>
              <w:jc w:val="center"/>
              <w:rPr>
                <w:rFonts w:ascii="Arial" w:hAnsi="Arial" w:cs="Arial"/>
                <w:color w:val="000000"/>
                <w:sz w:val="12"/>
                <w:szCs w:val="18"/>
              </w:rPr>
            </w:pPr>
            <w:r w:rsidRPr="00DB691B">
              <w:rPr>
                <w:rFonts w:ascii="Arial" w:hAnsi="Arial" w:cs="Arial"/>
                <w:color w:val="000000"/>
                <w:sz w:val="12"/>
                <w:szCs w:val="18"/>
              </w:rPr>
              <w:t> Cholesky Ordering: DDNX DDIGDP DDNWP DDIWP DDNEXV</w:t>
            </w: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02"/>
        </w:trPr>
        <w:tc>
          <w:tcPr>
            <w:tcW w:w="663"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double" w:sz="6" w:space="0" w:color="auto"/>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r w:rsidR="001013CB" w:rsidTr="00AB501F">
        <w:trPr>
          <w:trHeight w:hRule="exact" w:val="153"/>
        </w:trPr>
        <w:tc>
          <w:tcPr>
            <w:tcW w:w="663"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1"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c>
          <w:tcPr>
            <w:tcW w:w="1270" w:type="dxa"/>
            <w:tcBorders>
              <w:top w:val="nil"/>
              <w:left w:val="nil"/>
              <w:bottom w:val="nil"/>
              <w:right w:val="nil"/>
            </w:tcBorders>
            <w:vAlign w:val="bottom"/>
          </w:tcPr>
          <w:p w:rsidR="001013CB" w:rsidRDefault="001013CB" w:rsidP="00AB501F">
            <w:pPr>
              <w:autoSpaceDE w:val="0"/>
              <w:autoSpaceDN w:val="0"/>
              <w:adjustRightInd w:val="0"/>
              <w:jc w:val="center"/>
              <w:rPr>
                <w:rFonts w:ascii="Arial" w:hAnsi="Arial" w:cs="Arial"/>
                <w:color w:val="000000"/>
                <w:sz w:val="18"/>
                <w:szCs w:val="18"/>
              </w:rPr>
            </w:pPr>
          </w:p>
        </w:tc>
      </w:tr>
    </w:tbl>
    <w:p w:rsidR="001013CB" w:rsidRDefault="001013CB" w:rsidP="001013CB">
      <w:r>
        <w:rPr>
          <w:rFonts w:ascii="Arial" w:hAnsi="Arial" w:cs="Arial"/>
          <w:sz w:val="18"/>
          <w:szCs w:val="18"/>
        </w:rPr>
        <w:br/>
      </w:r>
    </w:p>
    <w:p w:rsidR="001013CB" w:rsidRDefault="001013CB"/>
    <w:p w:rsidR="001013CB" w:rsidRPr="00A42ABF" w:rsidRDefault="001013CB"/>
    <w:sectPr w:rsidR="001013CB" w:rsidRPr="00A42ABF" w:rsidSect="00C274B1">
      <w:headerReference w:type="even" r:id="rId108"/>
      <w:headerReference w:type="default" r:id="rId109"/>
      <w:footerReference w:type="even" r:id="rId110"/>
      <w:footerReference w:type="default" r:id="rId111"/>
      <w:headerReference w:type="first" r:id="rId112"/>
      <w:footerReference w:type="first" r:id="rId1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F44" w:rsidRDefault="00501F44" w:rsidP="00EC5D4D">
      <w:r>
        <w:separator/>
      </w:r>
    </w:p>
  </w:endnote>
  <w:endnote w:type="continuationSeparator" w:id="0">
    <w:p w:rsidR="00501F44" w:rsidRDefault="00501F44" w:rsidP="00EC5D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4D" w:rsidRDefault="00EC5D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4D" w:rsidRDefault="00EC5D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4D" w:rsidRDefault="00EC5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F44" w:rsidRDefault="00501F44" w:rsidP="00EC5D4D">
      <w:r>
        <w:separator/>
      </w:r>
    </w:p>
  </w:footnote>
  <w:footnote w:type="continuationSeparator" w:id="0">
    <w:p w:rsidR="00501F44" w:rsidRDefault="00501F44" w:rsidP="00EC5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4D" w:rsidRDefault="0057514C">
    <w:pPr>
      <w:pStyle w:val="Header"/>
    </w:pPr>
    <w:r w:rsidRPr="0057514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77074" o:spid="_x0000_s2050"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4D" w:rsidRDefault="0057514C">
    <w:pPr>
      <w:pStyle w:val="Header"/>
    </w:pPr>
    <w:r w:rsidRPr="0057514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77075" o:spid="_x0000_s2051"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4D" w:rsidRDefault="0057514C">
    <w:pPr>
      <w:pStyle w:val="Header"/>
    </w:pPr>
    <w:r w:rsidRPr="0057514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77073" o:spid="_x0000_s2049"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2734"/>
    <w:multiLevelType w:val="hybridMultilevel"/>
    <w:tmpl w:val="6926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D7A1C"/>
    <w:multiLevelType w:val="hybridMultilevel"/>
    <w:tmpl w:val="738636C4"/>
    <w:lvl w:ilvl="0" w:tplc="BA06F9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452B56"/>
    <w:multiLevelType w:val="hybridMultilevel"/>
    <w:tmpl w:val="659EDC14"/>
    <w:lvl w:ilvl="0" w:tplc="295E5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CB4BF7"/>
    <w:multiLevelType w:val="hybridMultilevel"/>
    <w:tmpl w:val="69125966"/>
    <w:lvl w:ilvl="0" w:tplc="5B2876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0755EE"/>
    <w:multiLevelType w:val="hybridMultilevel"/>
    <w:tmpl w:val="FD2AFF40"/>
    <w:lvl w:ilvl="0" w:tplc="404ACA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90A2D7D"/>
    <w:multiLevelType w:val="multilevel"/>
    <w:tmpl w:val="C5F25F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8E1318E"/>
    <w:multiLevelType w:val="hybridMultilevel"/>
    <w:tmpl w:val="2F4E4434"/>
    <w:lvl w:ilvl="0" w:tplc="1354C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B25A69"/>
    <w:rsid w:val="00003FEB"/>
    <w:rsid w:val="000116B8"/>
    <w:rsid w:val="00014AED"/>
    <w:rsid w:val="00015A79"/>
    <w:rsid w:val="000318D2"/>
    <w:rsid w:val="00086888"/>
    <w:rsid w:val="000A15AF"/>
    <w:rsid w:val="000E1417"/>
    <w:rsid w:val="000E159D"/>
    <w:rsid w:val="000E1BCC"/>
    <w:rsid w:val="001013CB"/>
    <w:rsid w:val="0011350B"/>
    <w:rsid w:val="00123906"/>
    <w:rsid w:val="001A4CB6"/>
    <w:rsid w:val="001B04B4"/>
    <w:rsid w:val="001E40FB"/>
    <w:rsid w:val="001F1BA6"/>
    <w:rsid w:val="00204061"/>
    <w:rsid w:val="00213DC2"/>
    <w:rsid w:val="0022757A"/>
    <w:rsid w:val="00261E50"/>
    <w:rsid w:val="002628C2"/>
    <w:rsid w:val="0027727B"/>
    <w:rsid w:val="002802A9"/>
    <w:rsid w:val="002C3832"/>
    <w:rsid w:val="002D359C"/>
    <w:rsid w:val="00302751"/>
    <w:rsid w:val="003202F4"/>
    <w:rsid w:val="0032756B"/>
    <w:rsid w:val="00392E8C"/>
    <w:rsid w:val="003A2834"/>
    <w:rsid w:val="003B3573"/>
    <w:rsid w:val="003C4ED5"/>
    <w:rsid w:val="003C578C"/>
    <w:rsid w:val="003D6A28"/>
    <w:rsid w:val="003F56EA"/>
    <w:rsid w:val="004136E4"/>
    <w:rsid w:val="004D2B98"/>
    <w:rsid w:val="00501F44"/>
    <w:rsid w:val="00506DC8"/>
    <w:rsid w:val="00557F40"/>
    <w:rsid w:val="0056024A"/>
    <w:rsid w:val="0057514C"/>
    <w:rsid w:val="00580ECF"/>
    <w:rsid w:val="00587C70"/>
    <w:rsid w:val="005D2CCF"/>
    <w:rsid w:val="006524F9"/>
    <w:rsid w:val="00663F94"/>
    <w:rsid w:val="00664EE4"/>
    <w:rsid w:val="006C0FD4"/>
    <w:rsid w:val="006D6F50"/>
    <w:rsid w:val="00700FCD"/>
    <w:rsid w:val="0071020E"/>
    <w:rsid w:val="007300A6"/>
    <w:rsid w:val="007368AA"/>
    <w:rsid w:val="007423C9"/>
    <w:rsid w:val="00751264"/>
    <w:rsid w:val="00753F01"/>
    <w:rsid w:val="007B45CB"/>
    <w:rsid w:val="007C0E4F"/>
    <w:rsid w:val="00816EE5"/>
    <w:rsid w:val="00817DEA"/>
    <w:rsid w:val="00874A02"/>
    <w:rsid w:val="008D42AD"/>
    <w:rsid w:val="008E0C3C"/>
    <w:rsid w:val="008F7FAF"/>
    <w:rsid w:val="009974A7"/>
    <w:rsid w:val="009A7C63"/>
    <w:rsid w:val="009E075A"/>
    <w:rsid w:val="009F292E"/>
    <w:rsid w:val="009F7B72"/>
    <w:rsid w:val="00A42ABF"/>
    <w:rsid w:val="00AB46BE"/>
    <w:rsid w:val="00AC2B14"/>
    <w:rsid w:val="00AD4C01"/>
    <w:rsid w:val="00AF29D1"/>
    <w:rsid w:val="00B02E21"/>
    <w:rsid w:val="00B25A69"/>
    <w:rsid w:val="00B45905"/>
    <w:rsid w:val="00B625B4"/>
    <w:rsid w:val="00B64491"/>
    <w:rsid w:val="00B77D87"/>
    <w:rsid w:val="00B96DD8"/>
    <w:rsid w:val="00BA3FCB"/>
    <w:rsid w:val="00BA4F4F"/>
    <w:rsid w:val="00BB5CD3"/>
    <w:rsid w:val="00BE08DD"/>
    <w:rsid w:val="00BF5412"/>
    <w:rsid w:val="00C274B1"/>
    <w:rsid w:val="00C44550"/>
    <w:rsid w:val="00C569F4"/>
    <w:rsid w:val="00C73D30"/>
    <w:rsid w:val="00CB1948"/>
    <w:rsid w:val="00CB4F45"/>
    <w:rsid w:val="00CC0695"/>
    <w:rsid w:val="00CC26D1"/>
    <w:rsid w:val="00CC749F"/>
    <w:rsid w:val="00CF0C29"/>
    <w:rsid w:val="00D24368"/>
    <w:rsid w:val="00D701E6"/>
    <w:rsid w:val="00D82B6F"/>
    <w:rsid w:val="00D846E2"/>
    <w:rsid w:val="00D8762F"/>
    <w:rsid w:val="00D87A11"/>
    <w:rsid w:val="00E06F0E"/>
    <w:rsid w:val="00E1086C"/>
    <w:rsid w:val="00E225BF"/>
    <w:rsid w:val="00E27249"/>
    <w:rsid w:val="00E8172A"/>
    <w:rsid w:val="00E8775D"/>
    <w:rsid w:val="00EC5D4D"/>
    <w:rsid w:val="00FA2FA7"/>
    <w:rsid w:val="00FC38C8"/>
    <w:rsid w:val="00FE2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4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56EA"/>
    <w:rPr>
      <w:color w:val="0000FF"/>
      <w:u w:val="single"/>
    </w:rPr>
  </w:style>
  <w:style w:type="paragraph" w:styleId="ListParagraph">
    <w:name w:val="List Paragraph"/>
    <w:basedOn w:val="Normal"/>
    <w:uiPriority w:val="34"/>
    <w:qFormat/>
    <w:rsid w:val="002C3832"/>
    <w:pPr>
      <w:spacing w:after="200" w:line="276" w:lineRule="auto"/>
      <w:ind w:left="720"/>
      <w:contextualSpacing/>
    </w:pPr>
    <w:rPr>
      <w:rFonts w:ascii="Calibri" w:eastAsia="Calibri" w:hAnsi="Calibri"/>
      <w:sz w:val="22"/>
      <w:szCs w:val="22"/>
      <w:lang w:val="en-GB"/>
    </w:rPr>
  </w:style>
  <w:style w:type="table" w:styleId="TableGrid">
    <w:name w:val="Table Grid"/>
    <w:basedOn w:val="TableNormal"/>
    <w:uiPriority w:val="59"/>
    <w:rsid w:val="002C3832"/>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C383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2C3832"/>
    <w:rPr>
      <w:rFonts w:ascii="Tahoma" w:eastAsia="Calibri" w:hAnsi="Tahoma" w:cs="Tahoma"/>
      <w:sz w:val="16"/>
      <w:szCs w:val="16"/>
      <w:lang w:val="en-GB"/>
    </w:rPr>
  </w:style>
  <w:style w:type="character" w:customStyle="1" w:styleId="HeaderChar">
    <w:name w:val="Header Char"/>
    <w:basedOn w:val="DefaultParagraphFont"/>
    <w:link w:val="Header"/>
    <w:uiPriority w:val="99"/>
    <w:semiHidden/>
    <w:rsid w:val="002C3832"/>
    <w:rPr>
      <w:rFonts w:ascii="Calibri" w:eastAsia="Calibri" w:hAnsi="Calibri" w:cs="Times New Roman"/>
      <w:sz w:val="22"/>
      <w:szCs w:val="22"/>
      <w:lang w:val="en-GB"/>
    </w:rPr>
  </w:style>
  <w:style w:type="paragraph" w:styleId="Header">
    <w:name w:val="header"/>
    <w:basedOn w:val="Normal"/>
    <w:link w:val="HeaderChar"/>
    <w:uiPriority w:val="99"/>
    <w:semiHidden/>
    <w:unhideWhenUsed/>
    <w:rsid w:val="002C3832"/>
    <w:pPr>
      <w:tabs>
        <w:tab w:val="center" w:pos="4513"/>
        <w:tab w:val="right" w:pos="9026"/>
      </w:tabs>
    </w:pPr>
    <w:rPr>
      <w:rFonts w:ascii="Calibri" w:eastAsia="Calibri" w:hAnsi="Calibri"/>
      <w:sz w:val="22"/>
      <w:szCs w:val="22"/>
      <w:lang w:val="en-GB"/>
    </w:rPr>
  </w:style>
  <w:style w:type="paragraph" w:styleId="Footer">
    <w:name w:val="footer"/>
    <w:basedOn w:val="Normal"/>
    <w:link w:val="FooterChar"/>
    <w:uiPriority w:val="99"/>
    <w:unhideWhenUsed/>
    <w:rsid w:val="002C3832"/>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2C3832"/>
    <w:rPr>
      <w:rFonts w:ascii="Calibri" w:eastAsia="Calibri" w:hAnsi="Calibri" w:cs="Times New Roman"/>
      <w:sz w:val="22"/>
      <w:szCs w:val="22"/>
      <w:lang w:val="en-GB"/>
    </w:rPr>
  </w:style>
</w:styles>
</file>

<file path=word/webSettings.xml><?xml version="1.0" encoding="utf-8"?>
<w:webSettings xmlns:r="http://schemas.openxmlformats.org/officeDocument/2006/relationships" xmlns:w="http://schemas.openxmlformats.org/wordprocessingml/2006/main">
  <w:divs>
    <w:div w:id="204914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header" Target="header3.xml"/><Relationship Id="rId16" Type="http://schemas.openxmlformats.org/officeDocument/2006/relationships/oleObject" Target="embeddings/oleObject5.bin"/><Relationship Id="rId107" Type="http://schemas.openxmlformats.org/officeDocument/2006/relationships/image" Target="media/image51.e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6.wmf"/><Relationship Id="rId87" Type="http://schemas.openxmlformats.org/officeDocument/2006/relationships/image" Target="media/image40.wmf"/><Relationship Id="rId102" Type="http://schemas.openxmlformats.org/officeDocument/2006/relationships/image" Target="media/image47.wmf"/><Relationship Id="rId110" Type="http://schemas.openxmlformats.org/officeDocument/2006/relationships/footer" Target="footer1.xm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4.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image" Target="media/image49.emf"/><Relationship Id="rId113"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oleObject" Target="embeddings/oleObject50.bin"/><Relationship Id="rId108"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5.wmf"/><Relationship Id="rId106" Type="http://schemas.openxmlformats.org/officeDocument/2006/relationships/image" Target="media/image50.emf"/><Relationship Id="rId114"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header" Target="header2.xml"/><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8.e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9444</Words>
  <Characters>53832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PRINCESS NWORGU</dc:creator>
  <cp:lastModifiedBy>stobun</cp:lastModifiedBy>
  <cp:revision>2</cp:revision>
  <dcterms:created xsi:type="dcterms:W3CDTF">2012-12-15T13:34:00Z</dcterms:created>
  <dcterms:modified xsi:type="dcterms:W3CDTF">2012-12-15T13:34:00Z</dcterms:modified>
</cp:coreProperties>
</file>